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A9D3A" w14:textId="0C192BD8" w:rsidR="00547EF1" w:rsidRDefault="00547EF1" w:rsidP="03E4BBA2">
      <w:pPr>
        <w:ind w:firstLine="0"/>
      </w:pPr>
    </w:p>
    <w:p w14:paraId="64C52885" w14:textId="77777777" w:rsidR="00547EF1" w:rsidRDefault="00547EF1" w:rsidP="0091093B">
      <w:pPr>
        <w:ind w:firstLine="0"/>
        <w:jc w:val="center"/>
      </w:pPr>
      <w:r>
        <w:t>Abstract</w:t>
      </w:r>
    </w:p>
    <w:p w14:paraId="7AB075D7" w14:textId="77777777" w:rsidR="00547EF1" w:rsidRDefault="00547EF1" w:rsidP="0091093B">
      <w:pPr>
        <w:ind w:firstLine="0"/>
      </w:pPr>
      <w:r>
        <w:t xml:space="preserve">Racial profiling is among the most deeply rooted vices in the USA. The practice </w:t>
      </w:r>
      <w:commentRangeStart w:id="0"/>
      <w:r>
        <w:t xml:space="preserve">seems inherent </w:t>
      </w:r>
      <w:commentRangeEnd w:id="0"/>
      <w:r w:rsidR="00A32BDA">
        <w:rPr>
          <w:rStyle w:val="CommentReference"/>
        </w:rPr>
        <w:commentReference w:id="0"/>
      </w:r>
      <w:r>
        <w:t>from the days of slavery when negative stereotypes were branded on non-whites.</w:t>
      </w:r>
      <w:commentRangeStart w:id="1"/>
      <w:r>
        <w:t xml:space="preserve">  </w:t>
      </w:r>
      <w:commentRangeEnd w:id="1"/>
      <w:r w:rsidR="00A32BDA">
        <w:rPr>
          <w:rStyle w:val="CommentReference"/>
        </w:rPr>
        <w:commentReference w:id="1"/>
      </w:r>
      <w:r>
        <w:t>The essay covers modern ways of racial profiling. One of the most common forms is street-related crime execution by the police. The essay determined that African Americans and Hispanics are the major victims of unnecessary searches and seizures by traffic police officers in the USA. Another form of racial profiling discussed is related to terrorism</w:t>
      </w:r>
      <w:commentRangeStart w:id="2"/>
      <w:r>
        <w:t>. Since the September attack</w:t>
      </w:r>
      <w:commentRangeEnd w:id="2"/>
      <w:r w:rsidR="00767BD1">
        <w:rPr>
          <w:rStyle w:val="CommentReference"/>
        </w:rPr>
        <w:commentReference w:id="2"/>
      </w:r>
      <w:r>
        <w:t xml:space="preserve">, Muslims and Arabs have been the significant target by anti-terrorism frameworks in the USA. Lastly, the essay touches on new immigration laws of the USA that have been applied inappropriately by targeting Hispanics. The essay concludes by proposing various ways that can be used to combat racial profiling. They include coming up with a Racial Diversity Secretariat, educating police officers on the need to end racial profiling and holding the perpetrators accountable. </w:t>
      </w:r>
    </w:p>
    <w:p w14:paraId="5EA5BF27" w14:textId="77777777" w:rsidR="00547EF1" w:rsidRPr="007E02D0" w:rsidRDefault="00547EF1" w:rsidP="0091093B">
      <w:pPr>
        <w:ind w:firstLine="0"/>
      </w:pPr>
      <w:r w:rsidRPr="002A3EEB">
        <w:rPr>
          <w:i/>
          <w:iCs/>
        </w:rPr>
        <w:t>Key</w:t>
      </w:r>
      <w:r>
        <w:rPr>
          <w:i/>
          <w:iCs/>
        </w:rPr>
        <w:t>w</w:t>
      </w:r>
      <w:r w:rsidRPr="002A3EEB">
        <w:rPr>
          <w:i/>
          <w:iCs/>
        </w:rPr>
        <w:t xml:space="preserve">ords: </w:t>
      </w:r>
      <w:r w:rsidRPr="007E02D0">
        <w:t>Racial profiling, African Americans, Hispanics, immigration, terrorism</w:t>
      </w:r>
    </w:p>
    <w:p w14:paraId="1E61065A" w14:textId="07D36BDA" w:rsidR="00547EF1" w:rsidRDefault="00547EF1" w:rsidP="0091093B">
      <w:pPr>
        <w:ind w:firstLine="0"/>
        <w:jc w:val="center"/>
      </w:pPr>
      <w:r>
        <w:t xml:space="preserve"> </w:t>
      </w:r>
    </w:p>
    <w:p w14:paraId="4BE55492" w14:textId="77777777" w:rsidR="00547EF1" w:rsidRDefault="00547EF1" w:rsidP="0091093B">
      <w:pPr>
        <w:ind w:firstLine="0"/>
        <w:jc w:val="center"/>
      </w:pPr>
    </w:p>
    <w:p w14:paraId="30E28AC1" w14:textId="77777777" w:rsidR="00547EF1" w:rsidRDefault="00547EF1" w:rsidP="0091093B">
      <w:pPr>
        <w:ind w:firstLine="0"/>
        <w:jc w:val="center"/>
      </w:pPr>
    </w:p>
    <w:p w14:paraId="450E854B" w14:textId="77777777" w:rsidR="00547EF1" w:rsidRDefault="00547EF1" w:rsidP="0091093B">
      <w:pPr>
        <w:ind w:firstLine="0"/>
        <w:jc w:val="center"/>
      </w:pPr>
    </w:p>
    <w:p w14:paraId="33B4CFF0" w14:textId="77777777" w:rsidR="00547EF1" w:rsidRDefault="00547EF1" w:rsidP="0091093B">
      <w:pPr>
        <w:ind w:firstLine="0"/>
        <w:jc w:val="center"/>
      </w:pPr>
    </w:p>
    <w:p w14:paraId="41431618" w14:textId="77777777" w:rsidR="00547EF1" w:rsidRDefault="00547EF1" w:rsidP="0091093B">
      <w:pPr>
        <w:ind w:firstLine="0"/>
        <w:jc w:val="center"/>
      </w:pPr>
    </w:p>
    <w:p w14:paraId="112861A8" w14:textId="77777777" w:rsidR="00547EF1" w:rsidRDefault="00547EF1" w:rsidP="0091093B">
      <w:pPr>
        <w:ind w:firstLine="0"/>
        <w:jc w:val="center"/>
      </w:pPr>
    </w:p>
    <w:p w14:paraId="6C766B84" w14:textId="77777777" w:rsidR="00E7265A" w:rsidRDefault="00E7265A" w:rsidP="0091093B">
      <w:pPr>
        <w:ind w:firstLine="0"/>
        <w:jc w:val="center"/>
      </w:pPr>
    </w:p>
    <w:p w14:paraId="3C1DB874" w14:textId="77777777" w:rsidR="00E7265A" w:rsidRDefault="00E7265A" w:rsidP="0091093B">
      <w:pPr>
        <w:ind w:firstLine="0"/>
        <w:jc w:val="center"/>
      </w:pPr>
    </w:p>
    <w:p w14:paraId="3592A236" w14:textId="1607964D" w:rsidR="002E7469" w:rsidRDefault="002E7469" w:rsidP="0091093B">
      <w:pPr>
        <w:ind w:firstLine="0"/>
        <w:jc w:val="center"/>
      </w:pPr>
      <w:commentRangeStart w:id="3"/>
      <w:r>
        <w:t>Racial Profiling and Possible Solutions</w:t>
      </w:r>
      <w:commentRangeEnd w:id="3"/>
      <w:r w:rsidR="00C3411A">
        <w:rPr>
          <w:rStyle w:val="CommentReference"/>
        </w:rPr>
        <w:commentReference w:id="3"/>
      </w:r>
    </w:p>
    <w:p w14:paraId="34ED93D9" w14:textId="543574A7" w:rsidR="002E7469" w:rsidRDefault="002E7469" w:rsidP="0091093B">
      <w:commentRangeStart w:id="4"/>
      <w:r>
        <w:t>The United States of America glitters with beautiful accolades that include an envious economy and</w:t>
      </w:r>
      <w:r w:rsidR="001167D0">
        <w:t xml:space="preserve"> great</w:t>
      </w:r>
      <w:r>
        <w:t xml:space="preserve"> industr</w:t>
      </w:r>
      <w:r w:rsidR="001167D0">
        <w:t>ial height</w:t>
      </w:r>
      <w:commentRangeEnd w:id="4"/>
      <w:r w:rsidR="00AF333B">
        <w:rPr>
          <w:rStyle w:val="CommentReference"/>
        </w:rPr>
        <w:commentReference w:id="4"/>
      </w:r>
      <w:r w:rsidR="001167D0">
        <w:t>s. Polit</w:t>
      </w:r>
      <w:r w:rsidR="001061B4">
        <w:t>ic</w:t>
      </w:r>
      <w:r w:rsidR="001167D0">
        <w:t>ally</w:t>
      </w:r>
      <w:r w:rsidR="001061B4">
        <w:t>, t</w:t>
      </w:r>
      <w:r w:rsidR="001167D0">
        <w:t xml:space="preserve">he </w:t>
      </w:r>
      <w:commentRangeStart w:id="5"/>
      <w:r w:rsidR="001167D0">
        <w:t xml:space="preserve">USA </w:t>
      </w:r>
      <w:commentRangeEnd w:id="5"/>
      <w:r w:rsidR="00AF333B">
        <w:rPr>
          <w:rStyle w:val="CommentReference"/>
        </w:rPr>
        <w:commentReference w:id="5"/>
      </w:r>
      <w:r w:rsidR="001167D0">
        <w:t xml:space="preserve">can </w:t>
      </w:r>
      <w:r w:rsidR="001061B4">
        <w:t xml:space="preserve">be </w:t>
      </w:r>
      <w:r w:rsidR="001167D0">
        <w:t>emulated in many aspects. Despite such decorations, the USA still grapples with the menace of racial profiling that has its roots back into the dark days of slavery</w:t>
      </w:r>
      <w:r w:rsidR="00016524" w:rsidRPr="00016524">
        <w:rPr>
          <w:color w:val="222222"/>
          <w:shd w:val="clear" w:color="auto" w:fill="FFFFFF"/>
        </w:rPr>
        <w:t xml:space="preserve"> </w:t>
      </w:r>
      <w:r w:rsidR="00016524">
        <w:rPr>
          <w:color w:val="222222"/>
          <w:shd w:val="clear" w:color="auto" w:fill="FFFFFF"/>
        </w:rPr>
        <w:t>(Epp,</w:t>
      </w:r>
      <w:r w:rsidR="00016524" w:rsidRPr="00FD4706">
        <w:rPr>
          <w:color w:val="222222"/>
          <w:shd w:val="clear" w:color="auto" w:fill="FFFFFF"/>
        </w:rPr>
        <w:t xml:space="preserve"> Maynard‐</w:t>
      </w:r>
      <w:r w:rsidR="00016524">
        <w:rPr>
          <w:color w:val="222222"/>
          <w:shd w:val="clear" w:color="auto" w:fill="FFFFFF"/>
        </w:rPr>
        <w:t xml:space="preserve">Moody, &amp; Haider‐Markel, </w:t>
      </w:r>
      <w:r w:rsidR="00016524" w:rsidRPr="00FD4706">
        <w:rPr>
          <w:color w:val="222222"/>
          <w:shd w:val="clear" w:color="auto" w:fill="FFFFFF"/>
        </w:rPr>
        <w:t>2017)</w:t>
      </w:r>
      <w:r w:rsidR="001167D0">
        <w:t>. L</w:t>
      </w:r>
      <w:r w:rsidR="001061B4">
        <w:t>engthy</w:t>
      </w:r>
      <w:r w:rsidR="001167D0">
        <w:t xml:space="preserve"> court battles against racism and components related </w:t>
      </w:r>
      <w:r w:rsidR="001061B4">
        <w:t xml:space="preserve">to </w:t>
      </w:r>
      <w:r w:rsidR="001167D0">
        <w:t>it yielded positive results when through the Supreme Court, the government outlawed racial profiling in all veins of its function. The Supreme Court of America still firmly ma</w:t>
      </w:r>
      <w:r w:rsidR="001061B4">
        <w:t>intai</w:t>
      </w:r>
      <w:r w:rsidR="001167D0">
        <w:t>n</w:t>
      </w:r>
      <w:r w:rsidR="001061B4">
        <w:t>s that racial profiling is against the basic constitutional demand for</w:t>
      </w:r>
      <w:r w:rsidR="001167D0">
        <w:t xml:space="preserve"> equal legal protection.</w:t>
      </w:r>
      <w:r w:rsidR="001061B4">
        <w:t xml:space="preserve"> </w:t>
      </w:r>
      <w:r w:rsidR="001167D0">
        <w:t xml:space="preserve">The Supreme Court works closely with the Federal Law Enforcement Agencies to assist in </w:t>
      </w:r>
      <w:r w:rsidR="001061B4">
        <w:t>enforcing</w:t>
      </w:r>
      <w:r w:rsidR="001167D0">
        <w:t xml:space="preserve"> such law. In the </w:t>
      </w:r>
      <w:r w:rsidR="001061B4">
        <w:t>more in-depth</w:t>
      </w:r>
      <w:r w:rsidR="001167D0">
        <w:t xml:space="preserve"> pages of the constitution lies some controversy. The government coined </w:t>
      </w:r>
      <w:r w:rsidR="001061B4">
        <w:t>specific</w:t>
      </w:r>
      <w:r w:rsidR="001167D0">
        <w:t xml:space="preserve"> laws that give the vice of racial profiling a leeway</w:t>
      </w:r>
      <w:r w:rsidR="0081653E">
        <w:t xml:space="preserve"> based on its application</w:t>
      </w:r>
      <w:r w:rsidR="001167D0">
        <w:t xml:space="preserve">. The clause states that </w:t>
      </w:r>
      <w:r w:rsidR="0081653E">
        <w:t xml:space="preserve">racial profiling can be used to mean </w:t>
      </w:r>
      <w:r w:rsidR="001061B4">
        <w:t>"</w:t>
      </w:r>
      <w:r w:rsidR="0081653E">
        <w:t>the deliberate use of race as a basis upon which to conduct stops, vehicle and residential search</w:t>
      </w:r>
      <w:r w:rsidR="00016524">
        <w:t>es, and other related processes</w:t>
      </w:r>
      <w:r w:rsidR="001061B4">
        <w:t xml:space="preserve">" </w:t>
      </w:r>
      <w:r w:rsidR="00016524">
        <w:t xml:space="preserve">(Nadal et al., </w:t>
      </w:r>
      <w:r w:rsidR="00B62A86">
        <w:t>2017).</w:t>
      </w:r>
      <w:r w:rsidR="0081653E">
        <w:t xml:space="preserve"> The </w:t>
      </w:r>
      <w:r w:rsidR="001061B4">
        <w:t>USA's justice department argues that the clause aims to tame</w:t>
      </w:r>
      <w:r w:rsidR="0081653E">
        <w:t xml:space="preserve"> people from specific ethnic groups who have a higher propensity </w:t>
      </w:r>
      <w:r w:rsidR="001061B4">
        <w:t>to commit</w:t>
      </w:r>
      <w:r w:rsidR="0081653E">
        <w:t xml:space="preserve"> </w:t>
      </w:r>
      <w:r w:rsidR="001061B4">
        <w:t xml:space="preserve">a </w:t>
      </w:r>
      <w:r w:rsidR="0081653E">
        <w:t xml:space="preserve">crime. The practice is lame both from a moral and legal standpoint.  </w:t>
      </w:r>
      <w:commentRangeStart w:id="6"/>
      <w:r w:rsidR="0081653E">
        <w:t xml:space="preserve">The essay seeks to explore instances of </w:t>
      </w:r>
      <w:r w:rsidR="00A42B4E">
        <w:t xml:space="preserve">police </w:t>
      </w:r>
      <w:r w:rsidR="0081653E">
        <w:t>racial pro</w:t>
      </w:r>
      <w:r w:rsidR="004D633B">
        <w:t xml:space="preserve">filing </w:t>
      </w:r>
      <w:r w:rsidR="0081653E">
        <w:t>and the possible solutions</w:t>
      </w:r>
      <w:commentRangeEnd w:id="6"/>
      <w:r w:rsidR="00875258">
        <w:rPr>
          <w:rStyle w:val="CommentReference"/>
        </w:rPr>
        <w:commentReference w:id="6"/>
      </w:r>
      <w:r w:rsidR="0081653E">
        <w:t>.</w:t>
      </w:r>
      <w:commentRangeStart w:id="7"/>
      <w:r w:rsidR="00B7785D">
        <w:t xml:space="preserve"> </w:t>
      </w:r>
      <w:commentRangeEnd w:id="7"/>
      <w:r w:rsidR="002412DB">
        <w:rPr>
          <w:rStyle w:val="CommentReference"/>
        </w:rPr>
        <w:commentReference w:id="7"/>
      </w:r>
    </w:p>
    <w:p w14:paraId="3C39F313" w14:textId="67A901D4" w:rsidR="001061B4" w:rsidRDefault="0081653E" w:rsidP="0091093B">
      <w:r>
        <w:t xml:space="preserve">One of the </w:t>
      </w:r>
      <w:r w:rsidR="001061B4">
        <w:t>standard</w:t>
      </w:r>
      <w:r>
        <w:t xml:space="preserve"> </w:t>
      </w:r>
      <w:r w:rsidR="0023024A">
        <w:t>arenas</w:t>
      </w:r>
      <w:r>
        <w:t xml:space="preserve"> that </w:t>
      </w:r>
      <w:r w:rsidR="00A42B4E">
        <w:t>witness</w:t>
      </w:r>
      <w:r>
        <w:t xml:space="preserve"> many </w:t>
      </w:r>
      <w:r w:rsidR="001061B4">
        <w:t>racial profiling cases</w:t>
      </w:r>
      <w:r>
        <w:t xml:space="preserve"> </w:t>
      </w:r>
      <w:r w:rsidR="004D633B">
        <w:t>is</w:t>
      </w:r>
      <w:r>
        <w:t xml:space="preserve"> the magnificent streets of the USA. </w:t>
      </w:r>
      <w:commentRangeStart w:id="8"/>
      <w:r>
        <w:t xml:space="preserve">As per the </w:t>
      </w:r>
      <w:r w:rsidR="00F4046C">
        <w:t>statistics</w:t>
      </w:r>
      <w:r>
        <w:t xml:space="preserve">, racial profiling is still </w:t>
      </w:r>
      <w:r w:rsidR="001061B4">
        <w:t>widespread</w:t>
      </w:r>
      <w:r>
        <w:t xml:space="preserve"> on American roads</w:t>
      </w:r>
      <w:r w:rsidR="00016524">
        <w:t xml:space="preserve"> </w:t>
      </w:r>
      <w:r w:rsidR="00016524">
        <w:rPr>
          <w:color w:val="222222"/>
          <w:shd w:val="clear" w:color="auto" w:fill="FFFFFF"/>
        </w:rPr>
        <w:t>(Epp,</w:t>
      </w:r>
      <w:r w:rsidR="00016524" w:rsidRPr="00FD4706">
        <w:rPr>
          <w:color w:val="222222"/>
          <w:shd w:val="clear" w:color="auto" w:fill="FFFFFF"/>
        </w:rPr>
        <w:t xml:space="preserve"> Maynard‐</w:t>
      </w:r>
      <w:r w:rsidR="00016524">
        <w:rPr>
          <w:color w:val="222222"/>
          <w:shd w:val="clear" w:color="auto" w:fill="FFFFFF"/>
        </w:rPr>
        <w:t xml:space="preserve">Moody, &amp; Haider‐Markel, </w:t>
      </w:r>
      <w:r w:rsidR="00016524" w:rsidRPr="00FD4706">
        <w:rPr>
          <w:color w:val="222222"/>
          <w:shd w:val="clear" w:color="auto" w:fill="FFFFFF"/>
        </w:rPr>
        <w:t>2017)</w:t>
      </w:r>
      <w:r>
        <w:t xml:space="preserve">. Reliable data reveals that </w:t>
      </w:r>
      <w:r w:rsidR="00F4046C">
        <w:t>the vice persisted into the millennium</w:t>
      </w:r>
      <w:commentRangeEnd w:id="8"/>
      <w:r w:rsidR="00B14EA8">
        <w:rPr>
          <w:rStyle w:val="CommentReference"/>
        </w:rPr>
        <w:commentReference w:id="8"/>
      </w:r>
      <w:r w:rsidR="00F4046C">
        <w:t>. The figures given by the United States labor Bureau of justice shows that as at 2005,</w:t>
      </w:r>
      <w:r w:rsidR="0023024A">
        <w:t xml:space="preserve"> </w:t>
      </w:r>
      <w:r w:rsidR="00F4046C">
        <w:t xml:space="preserve">the standard law enforcement procedures conducted </w:t>
      </w:r>
      <w:r w:rsidR="0023024A">
        <w:t>during stops</w:t>
      </w:r>
      <w:r w:rsidR="00F4046C">
        <w:t xml:space="preserve"> revealed inconsistency across different ethnicities or race. The research showed that the probability </w:t>
      </w:r>
      <w:r w:rsidR="0023024A">
        <w:t>of African</w:t>
      </w:r>
      <w:r w:rsidR="00F4046C">
        <w:t xml:space="preserve"> Americans being stopped was twice </w:t>
      </w:r>
      <w:r w:rsidR="001061B4">
        <w:t xml:space="preserve">as </w:t>
      </w:r>
      <w:r w:rsidR="00F4046C">
        <w:t xml:space="preserve">high compared to </w:t>
      </w:r>
      <w:r w:rsidR="0023024A">
        <w:t>whites</w:t>
      </w:r>
      <w:r w:rsidR="004D633B">
        <w:t xml:space="preserve"> </w:t>
      </w:r>
      <w:r w:rsidR="004D633B">
        <w:rPr>
          <w:color w:val="222222"/>
          <w:shd w:val="clear" w:color="auto" w:fill="FFFFFF"/>
        </w:rPr>
        <w:t>(Epp,</w:t>
      </w:r>
      <w:r w:rsidR="004D633B" w:rsidRPr="00FD4706">
        <w:rPr>
          <w:color w:val="222222"/>
          <w:shd w:val="clear" w:color="auto" w:fill="FFFFFF"/>
        </w:rPr>
        <w:t xml:space="preserve"> Maynard‐</w:t>
      </w:r>
      <w:r w:rsidR="004D633B">
        <w:rPr>
          <w:color w:val="222222"/>
          <w:shd w:val="clear" w:color="auto" w:fill="FFFFFF"/>
        </w:rPr>
        <w:t xml:space="preserve">Moody, &amp; Haider‐Markel, </w:t>
      </w:r>
      <w:r w:rsidR="004D633B" w:rsidRPr="00FD4706">
        <w:rPr>
          <w:color w:val="222222"/>
          <w:shd w:val="clear" w:color="auto" w:fill="FFFFFF"/>
        </w:rPr>
        <w:t>2017)</w:t>
      </w:r>
      <w:r w:rsidR="0023024A">
        <w:t>.</w:t>
      </w:r>
      <w:r w:rsidR="00F4046C">
        <w:t xml:space="preserve"> This is despite African Americans falling under the minority group in the USA. In essence, African Americans are likely to be stopped and frisked by the police</w:t>
      </w:r>
      <w:commentRangeStart w:id="9"/>
      <w:r w:rsidR="00F4046C">
        <w:t>.</w:t>
      </w:r>
      <w:commentRangeEnd w:id="9"/>
      <w:r w:rsidR="009C40C3">
        <w:rPr>
          <w:rStyle w:val="CommentReference"/>
        </w:rPr>
        <w:commentReference w:id="9"/>
      </w:r>
    </w:p>
    <w:p w14:paraId="2143471B" w14:textId="26A6B195" w:rsidR="001061B4" w:rsidRDefault="00F4046C" w:rsidP="0091093B">
      <w:r>
        <w:t xml:space="preserve">The percentage stands at 2.1% for whites while the Blacks take a </w:t>
      </w:r>
      <w:commentRangeStart w:id="10"/>
      <w:r w:rsidR="001061B4">
        <w:t>massiv</w:t>
      </w:r>
      <w:r>
        <w:t>e chunk of 4.5%</w:t>
      </w:r>
      <w:r w:rsidR="004D633B">
        <w:t xml:space="preserve"> </w:t>
      </w:r>
      <w:commentRangeEnd w:id="10"/>
      <w:r w:rsidR="00EC6A78">
        <w:rPr>
          <w:rStyle w:val="CommentReference"/>
        </w:rPr>
        <w:commentReference w:id="10"/>
      </w:r>
      <w:r w:rsidR="004D633B">
        <w:rPr>
          <w:color w:val="222222"/>
          <w:shd w:val="clear" w:color="auto" w:fill="FFFFFF"/>
        </w:rPr>
        <w:t>(Epp,</w:t>
      </w:r>
      <w:r w:rsidR="004D633B" w:rsidRPr="00FD4706">
        <w:rPr>
          <w:color w:val="222222"/>
          <w:shd w:val="clear" w:color="auto" w:fill="FFFFFF"/>
        </w:rPr>
        <w:t xml:space="preserve"> Maynard‐</w:t>
      </w:r>
      <w:r w:rsidR="004D633B">
        <w:rPr>
          <w:color w:val="222222"/>
          <w:shd w:val="clear" w:color="auto" w:fill="FFFFFF"/>
        </w:rPr>
        <w:t xml:space="preserve">Moody, &amp; Haider‐Markel, </w:t>
      </w:r>
      <w:r w:rsidR="004D633B" w:rsidRPr="00FD4706">
        <w:rPr>
          <w:color w:val="222222"/>
          <w:shd w:val="clear" w:color="auto" w:fill="FFFFFF"/>
        </w:rPr>
        <w:t>2017)</w:t>
      </w:r>
      <w:r>
        <w:t xml:space="preserve">.  </w:t>
      </w:r>
      <w:r w:rsidR="001061B4">
        <w:t>In this case, the frisking entails searching the body, bags that might be found in the car, and</w:t>
      </w:r>
      <w:r>
        <w:t xml:space="preserve"> the car parts</w:t>
      </w:r>
      <w:r w:rsidR="001061B4">
        <w:t>,</w:t>
      </w:r>
      <w:r>
        <w:t xml:space="preserve"> for instance</w:t>
      </w:r>
      <w:r w:rsidR="001061B4">
        <w:t>,</w:t>
      </w:r>
      <w:r>
        <w:t xml:space="preserve"> in the engine and the booth</w:t>
      </w:r>
      <w:r w:rsidR="001061B4">
        <w:t xml:space="preserve"> (McCabe, Kaminski, &amp; Boehme, 2020)</w:t>
      </w:r>
      <w:r>
        <w:t xml:space="preserve">. The worrying statistics revealed a high level of discrepancies in </w:t>
      </w:r>
      <w:r w:rsidR="001061B4">
        <w:t>how</w:t>
      </w:r>
      <w:r>
        <w:t xml:space="preserve"> the </w:t>
      </w:r>
      <w:r w:rsidR="001061B4">
        <w:t>high police patrol determines the searches</w:t>
      </w:r>
      <w:r>
        <w:t xml:space="preserve">. </w:t>
      </w:r>
      <w:r w:rsidR="0023024A">
        <w:t xml:space="preserve">It was unearthed that Hispanics stood a higher chance of being booked than blacks or whites. Hispanics were 65% more like to be booked </w:t>
      </w:r>
      <w:r w:rsidR="001061B4">
        <w:t>than</w:t>
      </w:r>
      <w:r w:rsidR="0023024A">
        <w:t xml:space="preserve"> whites at 56.2% and blacks at 55.8%. To add, the results showed that 9.7% of the whites were more likely to be issued with a written warning compared to 6% of Hispanics.</w:t>
      </w:r>
      <w:commentRangeStart w:id="11"/>
      <w:commentRangeEnd w:id="11"/>
      <w:r w:rsidR="00F7290A">
        <w:rPr>
          <w:rStyle w:val="CommentReference"/>
        </w:rPr>
        <w:commentReference w:id="11"/>
      </w:r>
    </w:p>
    <w:p w14:paraId="2A0D0A20" w14:textId="2BB04C19" w:rsidR="001403E8" w:rsidRPr="00D43BBE" w:rsidRDefault="0023024A" w:rsidP="0091093B">
      <w:r>
        <w:t xml:space="preserve"> In terms of </w:t>
      </w:r>
      <w:r w:rsidR="001061B4">
        <w:t xml:space="preserve">a </w:t>
      </w:r>
      <w:r>
        <w:t xml:space="preserve">verbal warning, 12.3% of the African Americans were more likely to be issued </w:t>
      </w:r>
      <w:r w:rsidR="001061B4">
        <w:t xml:space="preserve">a verbal warning </w:t>
      </w:r>
      <w:r w:rsidR="004D633B">
        <w:t xml:space="preserve">by the police </w:t>
      </w:r>
      <w:r w:rsidR="001061B4">
        <w:t>than</w:t>
      </w:r>
      <w:r>
        <w:t xml:space="preserve"> 19.1% of whites. The likelihood of being searched also has a striking contrast.10.4% of the blacks w</w:t>
      </w:r>
      <w:r w:rsidR="001061B4">
        <w:t>ere</w:t>
      </w:r>
      <w:r>
        <w:t xml:space="preserve"> more likely to be searched </w:t>
      </w:r>
      <w:r w:rsidR="001061B4">
        <w:t>than</w:t>
      </w:r>
      <w:r>
        <w:t xml:space="preserve"> 8.2% of the Hispanics</w:t>
      </w:r>
      <w:r w:rsidR="001061B4">
        <w:t>,</w:t>
      </w:r>
      <w:r>
        <w:t xml:space="preserve"> and lastly</w:t>
      </w:r>
      <w:r w:rsidR="001061B4">
        <w:t>,</w:t>
      </w:r>
      <w:r>
        <w:t xml:space="preserve"> 3.4% for the whites</w:t>
      </w:r>
      <w:r w:rsidR="001061B4">
        <w:t xml:space="preserve"> (Mogensen, 2019)</w:t>
      </w:r>
      <w:r>
        <w:t>.</w:t>
      </w:r>
      <w:r w:rsidR="00B62A86">
        <w:t xml:space="preserve"> Racial profiling also cuts across to both minority pedestrians and motorists. The situation has been worsened due to the new emphasis on community policing that gives the police loopholes to act in cleansing their areas of jurisdiction. Experts unveiled that such a policy gives a vast room </w:t>
      </w:r>
      <w:r w:rsidR="001061B4">
        <w:t>for</w:t>
      </w:r>
      <w:r w:rsidR="00B62A86">
        <w:t xml:space="preserve"> racial biases and stereotyping. It is common for a patrol officer to stop an African American pedestrian for baseless frisking on </w:t>
      </w:r>
      <w:r w:rsidR="001061B4">
        <w:t>the belief that the minority groups in the USA are prone to committing</w:t>
      </w:r>
      <w:r w:rsidR="00B62A86">
        <w:t xml:space="preserve"> crimes. The searches are carried out whether the officer has probable cause or not.</w:t>
      </w:r>
      <w:r w:rsidR="00D43BBE">
        <w:t xml:space="preserve"> </w:t>
      </w:r>
      <w:r w:rsidR="001403E8">
        <w:t xml:space="preserve">The notion is believed to be biased, as noted by a </w:t>
      </w:r>
      <w:commentRangeStart w:id="12"/>
      <w:r w:rsidR="001403E8">
        <w:t xml:space="preserve">majority of African American scholars. </w:t>
      </w:r>
      <w:commentRangeEnd w:id="12"/>
      <w:r w:rsidR="00E25070">
        <w:rPr>
          <w:rStyle w:val="CommentReference"/>
        </w:rPr>
        <w:commentReference w:id="12"/>
      </w:r>
      <w:r w:rsidR="001403E8">
        <w:t>Scientific evidence that underpins certain ethnic groups to crime and violence is among the contributing factors that make the police force act towards Hispanics and African Americans.  One such search involved Kevin Lamar, a football coach in New Jersey (Shjarback et al., 2017). In June 2008, he was stopped by the police and ordered to lie down on a rainy night. The police held him together with two other black teenagers at gunpoint. To add, the police insulted them with abuses while they searched for illegal substances in their car. The police did not find any substance, and neither were they remorseful.</w:t>
      </w:r>
    </w:p>
    <w:p w14:paraId="26B633A9" w14:textId="5F25245B" w:rsidR="001403E8" w:rsidRPr="00D43BBE" w:rsidRDefault="001403E8" w:rsidP="0091093B">
      <w:r>
        <w:t>When the Al-Qaida-affiliated group bombed the World Trade Center in what is known as the September 11</w:t>
      </w:r>
      <w:r w:rsidRPr="00943704">
        <w:rPr>
          <w:vertAlign w:val="superscript"/>
        </w:rPr>
        <w:t>th</w:t>
      </w:r>
      <w:r>
        <w:t xml:space="preserve"> attack, </w:t>
      </w:r>
      <w:commentRangeStart w:id="13"/>
      <w:r>
        <w:t>the lenses of stereotyping turned towards Arabs by being branded as terrorists.</w:t>
      </w:r>
      <w:commentRangeEnd w:id="13"/>
      <w:r w:rsidR="00E25070">
        <w:rPr>
          <w:rStyle w:val="CommentReference"/>
        </w:rPr>
        <w:commentReference w:id="13"/>
      </w:r>
      <w:r>
        <w:t xml:space="preserve"> Such reasoning is that the perpetrators were Arabs from Saudi Arabia (Shaw, Pollio &amp; North, 2020). As a security measure, the USA's government came up with radical and stringent counter-terrorism campaigns that targeted Muslims, mostly of Arab descent. The profiling against Arabs is still evident today despite the government's denial of such a bare fact. One of the best examples of programs that enhance such profiling is the OFL (Operation Front Line) program. The program was introduced in 2004 during the run-up presidential election. It aimed at detecting, disrupting, and preventing terrorist activities. The program was run covertly before the American -Arab Anti-Discrimination Committee realized it. Statistics from the Homeland Security department show that over 79% of people under investigation about terrorism were from Muslim countries</w:t>
      </w:r>
      <w:r w:rsidR="004F31E4">
        <w:t xml:space="preserve"> (Shaw, Pollio &amp; North, 2020)</w:t>
      </w:r>
      <w:r>
        <w:t xml:space="preserve">. People from Muslim countries were more likely to be the significant target compared to those from none-Muslim countries. The most puzzling revelation from this program is that it did not nail any suspect linked to terrorism. The program only served as an intimidation tool to Muslims, especially those residing in the USA. On the same connection, the government has the TSC (Terrorist Screening Center) center at the FBI. The center screens individuals believed to have ties with the world's terrorist networks. Most of those who are screened are Arabs and Muslims generally. An excellent scenario of such profiling is the </w:t>
      </w:r>
      <w:r w:rsidRPr="00F06E9C">
        <w:rPr>
          <w:i/>
          <w:iCs/>
        </w:rPr>
        <w:t>Rahman v. Chertoff</w:t>
      </w:r>
      <w:r>
        <w:rPr>
          <w:i/>
          <w:iCs/>
        </w:rPr>
        <w:t xml:space="preserve"> </w:t>
      </w:r>
      <w:r>
        <w:t>case. The case was filed in the federal district court of Illinois by nine citizens of the USA (Donohue, 2018). They claimed to have been mistreated and harassed at airports despite their innocence in connection to terrorism. Their mistreatment was based on their origin in the Middle East. Their case was shelved and considered normal security operations.</w:t>
      </w:r>
      <w:commentRangeStart w:id="14"/>
      <w:commentRangeEnd w:id="14"/>
      <w:r w:rsidR="00C720A9">
        <w:rPr>
          <w:rStyle w:val="CommentReference"/>
        </w:rPr>
        <w:commentReference w:id="14"/>
      </w:r>
    </w:p>
    <w:p w14:paraId="12BCD401" w14:textId="45033993" w:rsidR="001403E8" w:rsidRPr="00D43BBE" w:rsidRDefault="001403E8" w:rsidP="0091093B">
      <w:r w:rsidRPr="00641691">
        <w:t>As if that is not enough,</w:t>
      </w:r>
      <w:r>
        <w:t xml:space="preserve"> the USA's federal government has transferred its racial profiling to its borders.  </w:t>
      </w:r>
      <w:commentRangeStart w:id="16"/>
      <w:r>
        <w:t xml:space="preserve">The state coined various immigration laws and transferred them under various organs of the law enforcement agencies. They include the ICE (Immigration and Customs Enforcement agency) that works together with the department of homeland security to work on immigration issues (Henzel, 2020). </w:t>
      </w:r>
      <w:commentRangeEnd w:id="16"/>
      <w:r w:rsidR="005F0009">
        <w:rPr>
          <w:rStyle w:val="CommentReference"/>
        </w:rPr>
        <w:commentReference w:id="16"/>
      </w:r>
      <w:r>
        <w:t xml:space="preserve">Their ties borrow from the Immigration and Nationality Act, which empowers law enforcers to delegate duties-based supervision by the Customs Enforcement agency. The program aims at tracking and investigating immigrants. Despite the swell-spelled function, Hispanics have been the critical target., They are questioned, stopped, and even detained without proper reason. </w:t>
      </w:r>
      <w:commentRangeStart w:id="17"/>
      <w:r>
        <w:t>An excellent example is the rampant stops and checks by the police officers of New Jersey in 2007 (Coon, 2017). Both Hispanic motorists and pedestrians were always stopped and frisked without tangible reason</w:t>
      </w:r>
      <w:commentRangeEnd w:id="17"/>
      <w:r w:rsidR="00EF42CA">
        <w:rPr>
          <w:rStyle w:val="CommentReference"/>
        </w:rPr>
        <w:commentReference w:id="17"/>
      </w:r>
      <w:r>
        <w:t>.</w:t>
      </w:r>
    </w:p>
    <w:p w14:paraId="711DF48A" w14:textId="77777777" w:rsidR="001403E8" w:rsidRDefault="001403E8" w:rsidP="0091093B">
      <w:r w:rsidRPr="00FF022C">
        <w:t xml:space="preserve">The federal government of the USA can fight against racial profiling </w:t>
      </w:r>
      <w:r>
        <w:t xml:space="preserve">through educating officers over the same. Agencies in charge of law enforcement and security in the US need to incorporate initiatives to eliminate racial profiling in their closets via empowering their officers through educational programs (Harris, 2020). </w:t>
      </w:r>
      <w:commentRangeStart w:id="18"/>
      <w:r>
        <w:t>This can be achieved from the preliminary stages of training, where the offices are taught about the best ways of dealing with diverse people without grooming racial profiling.</w:t>
      </w:r>
      <w:commentRangeEnd w:id="18"/>
      <w:r w:rsidR="00F87AA2">
        <w:rPr>
          <w:rStyle w:val="CommentReference"/>
        </w:rPr>
        <w:commentReference w:id="18"/>
      </w:r>
      <w:r>
        <w:t xml:space="preserve"> Besides, the government can discourage racial profiling by holding the perpetrators of the vice accountable. The consequences of propagating racial profiling need to be spelled out in the constitution.,</w:t>
      </w:r>
    </w:p>
    <w:p w14:paraId="6ECFCAA0" w14:textId="5758144A" w:rsidR="001403E8" w:rsidRPr="00D43BBE" w:rsidRDefault="001403E8" w:rsidP="0091093B">
      <w:commentRangeStart w:id="19"/>
      <w:r>
        <w:t xml:space="preserve">Another appropriate remedy is forming a Racial Diversity Secretariat who would be needed to foresee various objectives. They include submitting an annual report about profiling in the US and encouraging and promoting the rule of law through seminars to preach the need to observe ethics amongst law enforcers (Jaime, 2018). The public sensitization should bring awareness among law enforcement agencies concerning the need to end racial profiling while on duty. Besides, the secretariat should initiate the formulation of policies aimed at tackling racial profiling. </w:t>
      </w:r>
      <w:commentRangeEnd w:id="19"/>
      <w:r w:rsidR="007813F6">
        <w:rPr>
          <w:rStyle w:val="CommentReference"/>
        </w:rPr>
        <w:commentReference w:id="19"/>
      </w:r>
    </w:p>
    <w:p w14:paraId="349D561C" w14:textId="77777777" w:rsidR="001403E8" w:rsidRDefault="001403E8" w:rsidP="0091093B">
      <w:r w:rsidRPr="00B74B29">
        <w:t xml:space="preserve">To conclude, racial profiling </w:t>
      </w:r>
      <w:r>
        <w:t>still exists in the USA despite a constitution that bars such a vice. One of the most common forms of racial profiling is reflected in street-related crimes. Blacks and Hispanics are always the significant targets in terms of stops and searches on American roads. Another form of racial profiling is related to terrorism. The September 11th incident prompted the government to come up with anti-terrorism mechanisms for the nation's good.</w:t>
      </w:r>
    </w:p>
    <w:p w14:paraId="12FD3EED" w14:textId="690F3EC3" w:rsidR="001403E8" w:rsidRDefault="001403E8" w:rsidP="0091093B">
      <w:r>
        <w:t>On the contrary, the mechanisms have been known to target the Muslim community and Arabs from the Middle East. They are harassed during travels and also questioned about their links to terrorism without a reasonable cause. Another form of terrorism entails immigration. The enforcement of immigration laws has squarely targeted Hispanics. Racial profiling can be tackled in various ways, including officers' educational training about the need to end racial profiling, coming up with punishing those who perpetrate racial profiling, and forming an office of Racial Diversity Secretariat to oversee matters about racial profiling.</w:t>
      </w:r>
      <w:commentRangeStart w:id="20"/>
      <w:commentRangeStart w:id="21"/>
      <w:r w:rsidR="00D43BBE">
        <w:t xml:space="preserve"> </w:t>
      </w:r>
      <w:commentRangeEnd w:id="20"/>
      <w:commentRangeEnd w:id="21"/>
      <w:r w:rsidR="00250CC4">
        <w:rPr>
          <w:rStyle w:val="CommentReference"/>
        </w:rPr>
        <w:commentReference w:id="21"/>
      </w:r>
      <w:r w:rsidR="00D627CC">
        <w:rPr>
          <w:rStyle w:val="CommentReference"/>
        </w:rPr>
        <w:commentReference w:id="20"/>
      </w:r>
    </w:p>
    <w:tbl>
      <w:tblPr>
        <w:tblW w:w="9375" w:type="dxa"/>
        <w:tblInd w:w="-23" w:type="dxa"/>
        <w:tblLayout w:type="fixed"/>
        <w:tblCellMar>
          <w:left w:w="135" w:type="dxa"/>
          <w:right w:w="135" w:type="dxa"/>
        </w:tblCellMar>
        <w:tblLook w:val="0000" w:firstRow="0" w:lastRow="0" w:firstColumn="0" w:lastColumn="0" w:noHBand="0" w:noVBand="0"/>
      </w:tblPr>
      <w:tblGrid>
        <w:gridCol w:w="3281"/>
        <w:gridCol w:w="1504"/>
        <w:gridCol w:w="912"/>
        <w:gridCol w:w="988"/>
        <w:gridCol w:w="1292"/>
        <w:gridCol w:w="1398"/>
      </w:tblGrid>
      <w:tr w:rsidR="00250CC4" w14:paraId="0FB96A3D" w14:textId="77777777">
        <w:trPr>
          <w:trHeight w:val="510"/>
        </w:trPr>
        <w:tc>
          <w:tcPr>
            <w:tcW w:w="3240" w:type="dxa"/>
            <w:tcBorders>
              <w:top w:val="single" w:sz="6" w:space="0" w:color="00000A"/>
              <w:left w:val="single" w:sz="6" w:space="0" w:color="00000A"/>
              <w:bottom w:val="single" w:sz="6" w:space="0" w:color="00000A"/>
              <w:right w:val="single" w:sz="6" w:space="0" w:color="00000A"/>
            </w:tcBorders>
            <w:shd w:val="clear" w:color="auto" w:fill="FFFFFF"/>
          </w:tcPr>
          <w:p w14:paraId="1043D7C8" w14:textId="77777777" w:rsidR="00250CC4" w:rsidRDefault="00250CC4">
            <w:pPr>
              <w:autoSpaceDE w:val="0"/>
              <w:autoSpaceDN w:val="0"/>
              <w:adjustRightInd w:val="0"/>
              <w:spacing w:after="240" w:line="240" w:lineRule="auto"/>
              <w:ind w:firstLine="0"/>
              <w:jc w:val="center"/>
              <w:rPr>
                <w:b/>
                <w:bCs/>
                <w:color w:val="00000A"/>
                <w:lang w:val="x-none"/>
              </w:rPr>
            </w:pPr>
            <w:r>
              <w:rPr>
                <w:b/>
                <w:bCs/>
                <w:color w:val="00000A"/>
                <w:lang w:val="x-none"/>
              </w:rPr>
              <w:t>Criteria</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Pr>
          <w:p w14:paraId="15B9C663" w14:textId="77777777" w:rsidR="00250CC4" w:rsidRDefault="00250CC4">
            <w:pPr>
              <w:autoSpaceDE w:val="0"/>
              <w:autoSpaceDN w:val="0"/>
              <w:adjustRightInd w:val="0"/>
              <w:spacing w:after="240" w:line="240" w:lineRule="auto"/>
              <w:ind w:firstLine="0"/>
              <w:rPr>
                <w:b/>
                <w:bCs/>
                <w:color w:val="00000A"/>
                <w:sz w:val="20"/>
                <w:szCs w:val="20"/>
                <w:lang w:val="x-none"/>
              </w:rPr>
            </w:pPr>
            <w:r>
              <w:rPr>
                <w:b/>
                <w:bCs/>
                <w:color w:val="00000A"/>
                <w:sz w:val="20"/>
                <w:szCs w:val="20"/>
                <w:lang w:val="x-none"/>
              </w:rPr>
              <w:t>Outstanding</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Pr>
          <w:p w14:paraId="12FC7652" w14:textId="77777777" w:rsidR="00250CC4" w:rsidRDefault="00250CC4">
            <w:pPr>
              <w:autoSpaceDE w:val="0"/>
              <w:autoSpaceDN w:val="0"/>
              <w:adjustRightInd w:val="0"/>
              <w:spacing w:after="240" w:line="240" w:lineRule="auto"/>
              <w:ind w:firstLine="0"/>
              <w:rPr>
                <w:b/>
                <w:bCs/>
                <w:color w:val="00000A"/>
                <w:sz w:val="20"/>
                <w:szCs w:val="20"/>
                <w:lang w:val="x-none"/>
              </w:rPr>
            </w:pPr>
            <w:r>
              <w:rPr>
                <w:b/>
                <w:bCs/>
                <w:color w:val="00000A"/>
                <w:sz w:val="20"/>
                <w:szCs w:val="20"/>
                <w:lang w:val="x-none"/>
              </w:rPr>
              <w:t>Strong</w:t>
            </w:r>
          </w:p>
        </w:tc>
        <w:tc>
          <w:tcPr>
            <w:tcW w:w="975" w:type="dxa"/>
            <w:tcBorders>
              <w:top w:val="single" w:sz="6" w:space="0" w:color="00000A"/>
              <w:left w:val="single" w:sz="6" w:space="0" w:color="00000A"/>
              <w:bottom w:val="single" w:sz="6" w:space="0" w:color="00000A"/>
              <w:right w:val="single" w:sz="6" w:space="0" w:color="00000A"/>
            </w:tcBorders>
            <w:shd w:val="clear" w:color="auto" w:fill="FFFFFF"/>
          </w:tcPr>
          <w:p w14:paraId="7A53DDA9" w14:textId="77777777" w:rsidR="00250CC4" w:rsidRDefault="00250CC4">
            <w:pPr>
              <w:autoSpaceDE w:val="0"/>
              <w:autoSpaceDN w:val="0"/>
              <w:adjustRightInd w:val="0"/>
              <w:spacing w:after="240" w:line="240" w:lineRule="auto"/>
              <w:ind w:firstLine="0"/>
              <w:rPr>
                <w:b/>
                <w:bCs/>
                <w:color w:val="00000A"/>
                <w:sz w:val="20"/>
                <w:szCs w:val="20"/>
                <w:lang w:val="x-none"/>
              </w:rPr>
            </w:pPr>
            <w:r>
              <w:rPr>
                <w:b/>
                <w:bCs/>
                <w:color w:val="00000A"/>
                <w:sz w:val="20"/>
                <w:szCs w:val="20"/>
                <w:lang w:val="x-none"/>
              </w:rPr>
              <w:t>Good</w:t>
            </w:r>
          </w:p>
        </w:tc>
        <w:tc>
          <w:tcPr>
            <w:tcW w:w="1275" w:type="dxa"/>
            <w:tcBorders>
              <w:top w:val="single" w:sz="6" w:space="0" w:color="00000A"/>
              <w:left w:val="single" w:sz="6" w:space="0" w:color="00000A"/>
              <w:bottom w:val="single" w:sz="6" w:space="0" w:color="00000A"/>
              <w:right w:val="single" w:sz="6" w:space="0" w:color="00000A"/>
            </w:tcBorders>
            <w:shd w:val="clear" w:color="auto" w:fill="FFFFFF"/>
          </w:tcPr>
          <w:p w14:paraId="7E6B8D3C" w14:textId="77777777" w:rsidR="00250CC4" w:rsidRDefault="00250CC4">
            <w:pPr>
              <w:autoSpaceDE w:val="0"/>
              <w:autoSpaceDN w:val="0"/>
              <w:adjustRightInd w:val="0"/>
              <w:spacing w:after="240" w:line="240" w:lineRule="auto"/>
              <w:ind w:firstLine="0"/>
              <w:rPr>
                <w:b/>
                <w:bCs/>
                <w:color w:val="00000A"/>
                <w:sz w:val="20"/>
                <w:szCs w:val="20"/>
                <w:lang w:val="x-none"/>
              </w:rPr>
            </w:pPr>
            <w:r>
              <w:rPr>
                <w:b/>
                <w:bCs/>
                <w:color w:val="00000A"/>
                <w:sz w:val="20"/>
                <w:szCs w:val="20"/>
                <w:lang w:val="x-none"/>
              </w:rPr>
              <w:t>Inadequate</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Pr>
          <w:p w14:paraId="7F1625E9" w14:textId="77777777" w:rsidR="00250CC4" w:rsidRDefault="00250CC4">
            <w:pPr>
              <w:autoSpaceDE w:val="0"/>
              <w:autoSpaceDN w:val="0"/>
              <w:adjustRightInd w:val="0"/>
              <w:spacing w:after="240" w:line="240" w:lineRule="auto"/>
              <w:ind w:firstLine="0"/>
              <w:rPr>
                <w:b/>
                <w:bCs/>
                <w:color w:val="00000A"/>
                <w:sz w:val="20"/>
                <w:szCs w:val="20"/>
                <w:lang w:val="x-none"/>
              </w:rPr>
            </w:pPr>
            <w:r>
              <w:rPr>
                <w:b/>
                <w:bCs/>
                <w:color w:val="00000A"/>
                <w:sz w:val="20"/>
                <w:szCs w:val="20"/>
                <w:lang w:val="x-none"/>
              </w:rPr>
              <w:t>Incomplete</w:t>
            </w:r>
          </w:p>
        </w:tc>
      </w:tr>
      <w:tr w:rsidR="00250CC4" w14:paraId="4F1F6ECD" w14:textId="77777777">
        <w:tblPrEx>
          <w:tblCellSpacing w:w="-8" w:type="nil"/>
        </w:tblPrEx>
        <w:trPr>
          <w:trHeight w:val="1095"/>
          <w:tblCellSpacing w:w="-8" w:type="nil"/>
        </w:trPr>
        <w:tc>
          <w:tcPr>
            <w:tcW w:w="3240" w:type="dxa"/>
            <w:tcBorders>
              <w:top w:val="single" w:sz="6" w:space="0" w:color="00000A"/>
              <w:left w:val="single" w:sz="6" w:space="0" w:color="00000A"/>
              <w:bottom w:val="single" w:sz="6" w:space="0" w:color="00000A"/>
              <w:right w:val="single" w:sz="6" w:space="0" w:color="00000A"/>
            </w:tcBorders>
            <w:shd w:val="clear" w:color="auto" w:fill="FFFFFF"/>
          </w:tcPr>
          <w:p w14:paraId="572D4CBF" w14:textId="77777777" w:rsidR="00250CC4" w:rsidRDefault="00250CC4">
            <w:pPr>
              <w:autoSpaceDE w:val="0"/>
              <w:autoSpaceDN w:val="0"/>
              <w:adjustRightInd w:val="0"/>
              <w:spacing w:after="240" w:line="276" w:lineRule="auto"/>
              <w:ind w:firstLine="0"/>
              <w:rPr>
                <w:color w:val="00000A"/>
                <w:sz w:val="22"/>
                <w:szCs w:val="22"/>
                <w:lang w:val="x-none"/>
              </w:rPr>
            </w:pPr>
            <w:r>
              <w:rPr>
                <w:b/>
                <w:bCs/>
                <w:color w:val="00000A"/>
                <w:sz w:val="22"/>
                <w:szCs w:val="22"/>
                <w:lang w:val="x-none"/>
              </w:rPr>
              <w:t xml:space="preserve">Complex Claim: </w:t>
            </w:r>
            <w:r>
              <w:rPr>
                <w:color w:val="00000A"/>
                <w:sz w:val="22"/>
                <w:szCs w:val="22"/>
                <w:lang w:val="x-none"/>
              </w:rPr>
              <w:t>Your paper contains and develops all five elements of the complex claim, as well as a roadmap in the introduction.</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Pr>
          <w:p w14:paraId="7FE62A21" w14:textId="77777777" w:rsidR="00250CC4" w:rsidRDefault="00250CC4">
            <w:pPr>
              <w:autoSpaceDE w:val="0"/>
              <w:autoSpaceDN w:val="0"/>
              <w:adjustRightInd w:val="0"/>
              <w:spacing w:after="240" w:line="240" w:lineRule="auto"/>
              <w:ind w:firstLine="0"/>
              <w:rPr>
                <w:color w:val="00000A"/>
                <w:lang w:val="x-none"/>
              </w:rPr>
            </w:pPr>
          </w:p>
        </w:tc>
        <w:tc>
          <w:tcPr>
            <w:tcW w:w="900" w:type="dxa"/>
            <w:tcBorders>
              <w:top w:val="single" w:sz="6" w:space="0" w:color="00000A"/>
              <w:left w:val="single" w:sz="6" w:space="0" w:color="00000A"/>
              <w:bottom w:val="single" w:sz="6" w:space="0" w:color="00000A"/>
              <w:right w:val="single" w:sz="6" w:space="0" w:color="00000A"/>
            </w:tcBorders>
            <w:shd w:val="clear" w:color="auto" w:fill="FFFFFF"/>
          </w:tcPr>
          <w:p w14:paraId="3BEB1FA9" w14:textId="77777777" w:rsidR="00250CC4" w:rsidRDefault="00250CC4">
            <w:pPr>
              <w:autoSpaceDE w:val="0"/>
              <w:autoSpaceDN w:val="0"/>
              <w:adjustRightInd w:val="0"/>
              <w:spacing w:after="240" w:line="240" w:lineRule="auto"/>
              <w:ind w:firstLine="0"/>
              <w:rPr>
                <w:color w:val="00000A"/>
                <w:sz w:val="48"/>
                <w:szCs w:val="48"/>
                <w:lang w:val="x-none"/>
              </w:rPr>
            </w:pPr>
          </w:p>
        </w:tc>
        <w:tc>
          <w:tcPr>
            <w:tcW w:w="975" w:type="dxa"/>
            <w:tcBorders>
              <w:top w:val="single" w:sz="6" w:space="0" w:color="00000A"/>
              <w:left w:val="single" w:sz="6" w:space="0" w:color="00000A"/>
              <w:bottom w:val="single" w:sz="6" w:space="0" w:color="00000A"/>
              <w:right w:val="single" w:sz="6" w:space="0" w:color="00000A"/>
            </w:tcBorders>
            <w:shd w:val="clear" w:color="auto" w:fill="FFFFFF"/>
          </w:tcPr>
          <w:p w14:paraId="462A70FC" w14:textId="77777777" w:rsidR="00250CC4" w:rsidRDefault="00250CC4">
            <w:pPr>
              <w:autoSpaceDE w:val="0"/>
              <w:autoSpaceDN w:val="0"/>
              <w:adjustRightInd w:val="0"/>
              <w:spacing w:after="240" w:line="240" w:lineRule="auto"/>
              <w:ind w:firstLine="0"/>
              <w:rPr>
                <w:color w:val="00000A"/>
                <w:sz w:val="48"/>
                <w:szCs w:val="48"/>
                <w:lang w:val="x-none"/>
              </w:rPr>
            </w:pPr>
            <w:r>
              <w:rPr>
                <w:color w:val="00000A"/>
                <w:sz w:val="48"/>
                <w:szCs w:val="48"/>
                <w:lang w:val="x-none"/>
              </w:rPr>
              <w:t>X</w:t>
            </w:r>
          </w:p>
        </w:tc>
        <w:tc>
          <w:tcPr>
            <w:tcW w:w="1275" w:type="dxa"/>
            <w:tcBorders>
              <w:top w:val="single" w:sz="6" w:space="0" w:color="00000A"/>
              <w:left w:val="single" w:sz="6" w:space="0" w:color="00000A"/>
              <w:bottom w:val="single" w:sz="6" w:space="0" w:color="00000A"/>
              <w:right w:val="single" w:sz="6" w:space="0" w:color="00000A"/>
            </w:tcBorders>
            <w:shd w:val="clear" w:color="auto" w:fill="FFFFFF"/>
          </w:tcPr>
          <w:p w14:paraId="653D3E2C" w14:textId="77777777" w:rsidR="00250CC4" w:rsidRDefault="00250CC4">
            <w:pPr>
              <w:autoSpaceDE w:val="0"/>
              <w:autoSpaceDN w:val="0"/>
              <w:adjustRightInd w:val="0"/>
              <w:spacing w:after="240" w:line="240" w:lineRule="auto"/>
              <w:ind w:firstLine="0"/>
              <w:rPr>
                <w:color w:val="00000A"/>
                <w:lang w:val="x-none"/>
              </w:rPr>
            </w:pPr>
          </w:p>
        </w:tc>
        <w:tc>
          <w:tcPr>
            <w:tcW w:w="1380" w:type="dxa"/>
            <w:tcBorders>
              <w:top w:val="single" w:sz="6" w:space="0" w:color="00000A"/>
              <w:left w:val="single" w:sz="6" w:space="0" w:color="00000A"/>
              <w:bottom w:val="single" w:sz="6" w:space="0" w:color="00000A"/>
              <w:right w:val="single" w:sz="6" w:space="0" w:color="00000A"/>
            </w:tcBorders>
            <w:shd w:val="clear" w:color="auto" w:fill="FFFFFF"/>
          </w:tcPr>
          <w:p w14:paraId="79871AE3" w14:textId="77777777" w:rsidR="00250CC4" w:rsidRDefault="00250CC4">
            <w:pPr>
              <w:autoSpaceDE w:val="0"/>
              <w:autoSpaceDN w:val="0"/>
              <w:adjustRightInd w:val="0"/>
              <w:spacing w:after="240" w:line="240" w:lineRule="auto"/>
              <w:ind w:firstLine="0"/>
              <w:rPr>
                <w:color w:val="00000A"/>
                <w:lang w:val="x-none"/>
              </w:rPr>
            </w:pPr>
          </w:p>
        </w:tc>
      </w:tr>
      <w:tr w:rsidR="00250CC4" w14:paraId="725F41D0" w14:textId="77777777">
        <w:tblPrEx>
          <w:tblCellSpacing w:w="-8" w:type="nil"/>
        </w:tblPrEx>
        <w:trPr>
          <w:trHeight w:val="1380"/>
          <w:tblCellSpacing w:w="-8" w:type="nil"/>
        </w:trPr>
        <w:tc>
          <w:tcPr>
            <w:tcW w:w="3240" w:type="dxa"/>
            <w:tcBorders>
              <w:top w:val="single" w:sz="6" w:space="0" w:color="00000A"/>
              <w:left w:val="single" w:sz="6" w:space="0" w:color="00000A"/>
              <w:bottom w:val="single" w:sz="6" w:space="0" w:color="00000A"/>
              <w:right w:val="single" w:sz="6" w:space="0" w:color="00000A"/>
            </w:tcBorders>
            <w:shd w:val="clear" w:color="auto" w:fill="FFFFFF"/>
          </w:tcPr>
          <w:p w14:paraId="03EA7D87" w14:textId="77777777" w:rsidR="00250CC4" w:rsidRDefault="00250CC4">
            <w:pPr>
              <w:autoSpaceDE w:val="0"/>
              <w:autoSpaceDN w:val="0"/>
              <w:adjustRightInd w:val="0"/>
              <w:spacing w:after="240" w:line="276" w:lineRule="auto"/>
              <w:ind w:firstLine="0"/>
              <w:rPr>
                <w:color w:val="000000"/>
                <w:sz w:val="22"/>
                <w:szCs w:val="22"/>
                <w:lang w:val="x-none"/>
              </w:rPr>
            </w:pPr>
            <w:r>
              <w:rPr>
                <w:b/>
                <w:bCs/>
                <w:color w:val="00000A"/>
                <w:sz w:val="22"/>
                <w:szCs w:val="22"/>
                <w:lang w:val="x-none"/>
              </w:rPr>
              <w:t>Analysis of Evidence:</w:t>
            </w:r>
            <w:r>
              <w:rPr>
                <w:color w:val="00000A"/>
                <w:sz w:val="22"/>
                <w:szCs w:val="22"/>
                <w:lang w:val="x-none"/>
              </w:rPr>
              <w:t xml:space="preserve"> </w:t>
            </w:r>
            <w:r>
              <w:rPr>
                <w:color w:val="000000"/>
                <w:sz w:val="22"/>
                <w:szCs w:val="22"/>
                <w:lang w:val="x-none"/>
              </w:rPr>
              <w:t>includes both scholarly and popular sources; sources are utilized/quoted/cited effectively and are relevant to your overall claim.</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Pr>
          <w:p w14:paraId="55DE495B" w14:textId="77777777" w:rsidR="00250CC4" w:rsidRDefault="00250CC4">
            <w:pPr>
              <w:autoSpaceDE w:val="0"/>
              <w:autoSpaceDN w:val="0"/>
              <w:adjustRightInd w:val="0"/>
              <w:spacing w:after="240" w:line="240" w:lineRule="auto"/>
              <w:ind w:firstLine="0"/>
              <w:rPr>
                <w:color w:val="00000A"/>
                <w:lang w:val="x-none"/>
              </w:rPr>
            </w:pPr>
          </w:p>
        </w:tc>
        <w:tc>
          <w:tcPr>
            <w:tcW w:w="900" w:type="dxa"/>
            <w:tcBorders>
              <w:top w:val="single" w:sz="6" w:space="0" w:color="00000A"/>
              <w:left w:val="single" w:sz="6" w:space="0" w:color="00000A"/>
              <w:bottom w:val="single" w:sz="6" w:space="0" w:color="00000A"/>
              <w:right w:val="single" w:sz="6" w:space="0" w:color="00000A"/>
            </w:tcBorders>
            <w:shd w:val="clear" w:color="auto" w:fill="FFFFFF"/>
          </w:tcPr>
          <w:p w14:paraId="4BB1136E" w14:textId="77777777" w:rsidR="00250CC4" w:rsidRDefault="00250CC4">
            <w:pPr>
              <w:autoSpaceDE w:val="0"/>
              <w:autoSpaceDN w:val="0"/>
              <w:adjustRightInd w:val="0"/>
              <w:spacing w:after="240" w:line="240" w:lineRule="auto"/>
              <w:ind w:firstLine="0"/>
              <w:rPr>
                <w:color w:val="00000A"/>
                <w:lang w:val="x-none"/>
              </w:rPr>
            </w:pPr>
          </w:p>
        </w:tc>
        <w:tc>
          <w:tcPr>
            <w:tcW w:w="975" w:type="dxa"/>
            <w:tcBorders>
              <w:top w:val="single" w:sz="6" w:space="0" w:color="00000A"/>
              <w:left w:val="single" w:sz="6" w:space="0" w:color="00000A"/>
              <w:bottom w:val="single" w:sz="6" w:space="0" w:color="00000A"/>
              <w:right w:val="single" w:sz="6" w:space="0" w:color="00000A"/>
            </w:tcBorders>
            <w:shd w:val="clear" w:color="auto" w:fill="FFFFFF"/>
          </w:tcPr>
          <w:p w14:paraId="634347F6" w14:textId="77777777" w:rsidR="00250CC4" w:rsidRDefault="00250CC4">
            <w:pPr>
              <w:autoSpaceDE w:val="0"/>
              <w:autoSpaceDN w:val="0"/>
              <w:adjustRightInd w:val="0"/>
              <w:spacing w:after="240" w:line="240" w:lineRule="auto"/>
              <w:ind w:firstLine="0"/>
              <w:rPr>
                <w:color w:val="00000A"/>
                <w:sz w:val="48"/>
                <w:szCs w:val="48"/>
                <w:lang w:val="x-none"/>
              </w:rPr>
            </w:pPr>
            <w:r>
              <w:rPr>
                <w:color w:val="00000A"/>
                <w:sz w:val="48"/>
                <w:szCs w:val="48"/>
                <w:lang w:val="x-none"/>
              </w:rPr>
              <w:t>X</w:t>
            </w:r>
          </w:p>
        </w:tc>
        <w:tc>
          <w:tcPr>
            <w:tcW w:w="1275" w:type="dxa"/>
            <w:tcBorders>
              <w:top w:val="single" w:sz="6" w:space="0" w:color="00000A"/>
              <w:left w:val="single" w:sz="6" w:space="0" w:color="00000A"/>
              <w:bottom w:val="single" w:sz="6" w:space="0" w:color="00000A"/>
              <w:right w:val="single" w:sz="6" w:space="0" w:color="00000A"/>
            </w:tcBorders>
            <w:shd w:val="clear" w:color="auto" w:fill="FFFFFF"/>
          </w:tcPr>
          <w:p w14:paraId="272CA2E0" w14:textId="77777777" w:rsidR="00250CC4" w:rsidRDefault="00250CC4">
            <w:pPr>
              <w:autoSpaceDE w:val="0"/>
              <w:autoSpaceDN w:val="0"/>
              <w:adjustRightInd w:val="0"/>
              <w:spacing w:after="240" w:line="240" w:lineRule="auto"/>
              <w:ind w:firstLine="0"/>
              <w:rPr>
                <w:color w:val="00000A"/>
                <w:lang w:val="x-none"/>
              </w:rPr>
            </w:pPr>
          </w:p>
        </w:tc>
        <w:tc>
          <w:tcPr>
            <w:tcW w:w="1380" w:type="dxa"/>
            <w:tcBorders>
              <w:top w:val="single" w:sz="6" w:space="0" w:color="00000A"/>
              <w:left w:val="single" w:sz="6" w:space="0" w:color="00000A"/>
              <w:bottom w:val="single" w:sz="6" w:space="0" w:color="00000A"/>
              <w:right w:val="single" w:sz="6" w:space="0" w:color="00000A"/>
            </w:tcBorders>
            <w:shd w:val="clear" w:color="auto" w:fill="FFFFFF"/>
          </w:tcPr>
          <w:p w14:paraId="76714489" w14:textId="77777777" w:rsidR="00250CC4" w:rsidRDefault="00250CC4">
            <w:pPr>
              <w:autoSpaceDE w:val="0"/>
              <w:autoSpaceDN w:val="0"/>
              <w:adjustRightInd w:val="0"/>
              <w:spacing w:after="240" w:line="240" w:lineRule="auto"/>
              <w:ind w:firstLine="0"/>
              <w:rPr>
                <w:color w:val="00000A"/>
                <w:lang w:val="x-none"/>
              </w:rPr>
            </w:pPr>
          </w:p>
        </w:tc>
      </w:tr>
      <w:tr w:rsidR="00250CC4" w14:paraId="22761B32" w14:textId="77777777">
        <w:tblPrEx>
          <w:tblCellSpacing w:w="-8" w:type="nil"/>
        </w:tblPrEx>
        <w:trPr>
          <w:trHeight w:val="1380"/>
          <w:tblCellSpacing w:w="-8" w:type="nil"/>
        </w:trPr>
        <w:tc>
          <w:tcPr>
            <w:tcW w:w="3240" w:type="dxa"/>
            <w:tcBorders>
              <w:top w:val="single" w:sz="6" w:space="0" w:color="00000A"/>
              <w:left w:val="single" w:sz="6" w:space="0" w:color="00000A"/>
              <w:bottom w:val="single" w:sz="6" w:space="0" w:color="00000A"/>
              <w:right w:val="single" w:sz="6" w:space="0" w:color="00000A"/>
            </w:tcBorders>
            <w:shd w:val="clear" w:color="auto" w:fill="FFFFFF"/>
          </w:tcPr>
          <w:p w14:paraId="4B6CC71E" w14:textId="77777777" w:rsidR="00250CC4" w:rsidRDefault="00250CC4">
            <w:pPr>
              <w:autoSpaceDE w:val="0"/>
              <w:autoSpaceDN w:val="0"/>
              <w:adjustRightInd w:val="0"/>
              <w:spacing w:after="240" w:line="276" w:lineRule="auto"/>
              <w:ind w:firstLine="0"/>
              <w:rPr>
                <w:color w:val="00000A"/>
                <w:sz w:val="22"/>
                <w:szCs w:val="22"/>
                <w:lang w:val="x-none"/>
              </w:rPr>
            </w:pPr>
            <w:r>
              <w:rPr>
                <w:b/>
                <w:bCs/>
                <w:color w:val="00000A"/>
                <w:sz w:val="22"/>
                <w:szCs w:val="22"/>
                <w:lang w:val="x-none"/>
              </w:rPr>
              <w:t>Tone, Style, and Formatting: l</w:t>
            </w:r>
            <w:r>
              <w:rPr>
                <w:color w:val="00000A"/>
                <w:sz w:val="22"/>
                <w:szCs w:val="22"/>
                <w:lang w:val="x-none"/>
              </w:rPr>
              <w:t>anguage and style adhere to the expectations and conventions of APA and the academic research paper genre.</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Pr>
          <w:p w14:paraId="271F9BCC" w14:textId="77777777" w:rsidR="00250CC4" w:rsidRDefault="00250CC4">
            <w:pPr>
              <w:autoSpaceDE w:val="0"/>
              <w:autoSpaceDN w:val="0"/>
              <w:adjustRightInd w:val="0"/>
              <w:spacing w:after="240" w:line="240" w:lineRule="auto"/>
              <w:ind w:firstLine="0"/>
              <w:rPr>
                <w:color w:val="00000A"/>
                <w:lang w:val="x-none"/>
              </w:rPr>
            </w:pPr>
          </w:p>
        </w:tc>
        <w:tc>
          <w:tcPr>
            <w:tcW w:w="900" w:type="dxa"/>
            <w:tcBorders>
              <w:top w:val="single" w:sz="6" w:space="0" w:color="00000A"/>
              <w:left w:val="single" w:sz="6" w:space="0" w:color="00000A"/>
              <w:bottom w:val="single" w:sz="6" w:space="0" w:color="00000A"/>
              <w:right w:val="single" w:sz="6" w:space="0" w:color="00000A"/>
            </w:tcBorders>
            <w:shd w:val="clear" w:color="auto" w:fill="FFFFFF"/>
          </w:tcPr>
          <w:p w14:paraId="02A8A90B" w14:textId="77777777" w:rsidR="00250CC4" w:rsidRDefault="00250CC4">
            <w:pPr>
              <w:autoSpaceDE w:val="0"/>
              <w:autoSpaceDN w:val="0"/>
              <w:adjustRightInd w:val="0"/>
              <w:spacing w:after="240" w:line="240" w:lineRule="auto"/>
              <w:ind w:firstLine="0"/>
              <w:rPr>
                <w:color w:val="00000A"/>
                <w:lang w:val="x-none"/>
              </w:rPr>
            </w:pPr>
          </w:p>
        </w:tc>
        <w:tc>
          <w:tcPr>
            <w:tcW w:w="975" w:type="dxa"/>
            <w:tcBorders>
              <w:top w:val="single" w:sz="6" w:space="0" w:color="00000A"/>
              <w:left w:val="single" w:sz="6" w:space="0" w:color="00000A"/>
              <w:bottom w:val="single" w:sz="6" w:space="0" w:color="00000A"/>
              <w:right w:val="single" w:sz="6" w:space="0" w:color="00000A"/>
            </w:tcBorders>
            <w:shd w:val="clear" w:color="auto" w:fill="FFFFFF"/>
          </w:tcPr>
          <w:p w14:paraId="1B69CCDC" w14:textId="1E886007" w:rsidR="00250CC4" w:rsidRDefault="00250CC4">
            <w:pPr>
              <w:autoSpaceDE w:val="0"/>
              <w:autoSpaceDN w:val="0"/>
              <w:adjustRightInd w:val="0"/>
              <w:spacing w:after="240" w:line="240" w:lineRule="auto"/>
              <w:ind w:firstLine="0"/>
              <w:rPr>
                <w:color w:val="00000A"/>
                <w:sz w:val="48"/>
                <w:szCs w:val="48"/>
                <w:lang w:val="x-none"/>
              </w:rPr>
            </w:pPr>
            <w:r>
              <w:rPr>
                <w:color w:val="00000A"/>
                <w:sz w:val="48"/>
                <w:szCs w:val="48"/>
                <w:lang w:val="x-none"/>
              </w:rPr>
              <w:t>X</w:t>
            </w:r>
          </w:p>
        </w:tc>
        <w:tc>
          <w:tcPr>
            <w:tcW w:w="1275" w:type="dxa"/>
            <w:tcBorders>
              <w:top w:val="single" w:sz="6" w:space="0" w:color="00000A"/>
              <w:left w:val="single" w:sz="6" w:space="0" w:color="00000A"/>
              <w:bottom w:val="single" w:sz="6" w:space="0" w:color="00000A"/>
              <w:right w:val="single" w:sz="6" w:space="0" w:color="00000A"/>
            </w:tcBorders>
            <w:shd w:val="clear" w:color="auto" w:fill="FFFFFF"/>
          </w:tcPr>
          <w:p w14:paraId="44E4E0CD" w14:textId="418ECE2D" w:rsidR="00250CC4" w:rsidRDefault="00250CC4">
            <w:pPr>
              <w:autoSpaceDE w:val="0"/>
              <w:autoSpaceDN w:val="0"/>
              <w:adjustRightInd w:val="0"/>
              <w:spacing w:after="240" w:line="240" w:lineRule="auto"/>
              <w:ind w:firstLine="0"/>
              <w:rPr>
                <w:color w:val="00000A"/>
                <w:sz w:val="48"/>
                <w:szCs w:val="48"/>
                <w:lang w:val="x-none"/>
              </w:rPr>
            </w:pPr>
          </w:p>
        </w:tc>
        <w:tc>
          <w:tcPr>
            <w:tcW w:w="1380" w:type="dxa"/>
            <w:tcBorders>
              <w:top w:val="single" w:sz="6" w:space="0" w:color="00000A"/>
              <w:left w:val="single" w:sz="6" w:space="0" w:color="00000A"/>
              <w:bottom w:val="single" w:sz="6" w:space="0" w:color="00000A"/>
              <w:right w:val="single" w:sz="6" w:space="0" w:color="00000A"/>
            </w:tcBorders>
            <w:shd w:val="clear" w:color="auto" w:fill="FFFFFF"/>
          </w:tcPr>
          <w:p w14:paraId="1B90F0E4" w14:textId="77777777" w:rsidR="00250CC4" w:rsidRDefault="00250CC4">
            <w:pPr>
              <w:autoSpaceDE w:val="0"/>
              <w:autoSpaceDN w:val="0"/>
              <w:adjustRightInd w:val="0"/>
              <w:spacing w:after="240" w:line="240" w:lineRule="auto"/>
              <w:ind w:firstLine="0"/>
              <w:rPr>
                <w:color w:val="00000A"/>
                <w:lang w:val="x-none"/>
              </w:rPr>
            </w:pPr>
          </w:p>
        </w:tc>
      </w:tr>
      <w:tr w:rsidR="00250CC4" w14:paraId="2F975A52" w14:textId="77777777">
        <w:tblPrEx>
          <w:tblCellSpacing w:w="-8" w:type="nil"/>
        </w:tblPrEx>
        <w:trPr>
          <w:trHeight w:val="1380"/>
          <w:tblCellSpacing w:w="-8" w:type="nil"/>
        </w:trPr>
        <w:tc>
          <w:tcPr>
            <w:tcW w:w="3240" w:type="dxa"/>
            <w:tcBorders>
              <w:top w:val="single" w:sz="6" w:space="0" w:color="00000A"/>
              <w:left w:val="single" w:sz="6" w:space="0" w:color="00000A"/>
              <w:bottom w:val="single" w:sz="6" w:space="0" w:color="00000A"/>
              <w:right w:val="single" w:sz="6" w:space="0" w:color="00000A"/>
            </w:tcBorders>
            <w:shd w:val="clear" w:color="auto" w:fill="FFFFFF"/>
          </w:tcPr>
          <w:p w14:paraId="27FE01C4" w14:textId="77777777" w:rsidR="00250CC4" w:rsidRDefault="00250CC4">
            <w:pPr>
              <w:autoSpaceDE w:val="0"/>
              <w:autoSpaceDN w:val="0"/>
              <w:adjustRightInd w:val="0"/>
              <w:spacing w:after="240" w:line="276" w:lineRule="auto"/>
              <w:ind w:firstLine="0"/>
              <w:rPr>
                <w:color w:val="00000A"/>
                <w:sz w:val="22"/>
                <w:szCs w:val="22"/>
                <w:lang w:val="x-none"/>
              </w:rPr>
            </w:pPr>
            <w:r>
              <w:rPr>
                <w:b/>
                <w:bCs/>
                <w:color w:val="00000A"/>
                <w:sz w:val="22"/>
                <w:szCs w:val="22"/>
                <w:lang w:val="x-none"/>
              </w:rPr>
              <w:t>Grammar and Proofreading:</w:t>
            </w:r>
            <w:r>
              <w:rPr>
                <w:color w:val="00000A"/>
                <w:sz w:val="22"/>
                <w:szCs w:val="22"/>
                <w:lang w:val="x-none"/>
              </w:rPr>
              <w:t xml:space="preserve"> it is evident that the paper has been proofread and has minimal grammar errors that confuse or impact meaning.</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Pr>
          <w:p w14:paraId="5696834F" w14:textId="77777777" w:rsidR="00250CC4" w:rsidRDefault="00250CC4">
            <w:pPr>
              <w:autoSpaceDE w:val="0"/>
              <w:autoSpaceDN w:val="0"/>
              <w:adjustRightInd w:val="0"/>
              <w:spacing w:after="240" w:line="240" w:lineRule="auto"/>
              <w:ind w:firstLine="0"/>
              <w:rPr>
                <w:color w:val="00000A"/>
                <w:lang w:val="x-none"/>
              </w:rPr>
            </w:pPr>
          </w:p>
        </w:tc>
        <w:tc>
          <w:tcPr>
            <w:tcW w:w="900" w:type="dxa"/>
            <w:tcBorders>
              <w:top w:val="single" w:sz="6" w:space="0" w:color="00000A"/>
              <w:left w:val="single" w:sz="6" w:space="0" w:color="00000A"/>
              <w:bottom w:val="single" w:sz="6" w:space="0" w:color="00000A"/>
              <w:right w:val="single" w:sz="6" w:space="0" w:color="00000A"/>
            </w:tcBorders>
            <w:shd w:val="clear" w:color="auto" w:fill="FFFFFF"/>
          </w:tcPr>
          <w:p w14:paraId="673855FF" w14:textId="77777777" w:rsidR="00250CC4" w:rsidRDefault="00250CC4">
            <w:pPr>
              <w:autoSpaceDE w:val="0"/>
              <w:autoSpaceDN w:val="0"/>
              <w:adjustRightInd w:val="0"/>
              <w:spacing w:after="240" w:line="240" w:lineRule="auto"/>
              <w:ind w:firstLine="0"/>
              <w:rPr>
                <w:color w:val="00000A"/>
                <w:lang w:val="x-none"/>
              </w:rPr>
            </w:pPr>
          </w:p>
        </w:tc>
        <w:tc>
          <w:tcPr>
            <w:tcW w:w="975" w:type="dxa"/>
            <w:tcBorders>
              <w:top w:val="single" w:sz="6" w:space="0" w:color="00000A"/>
              <w:left w:val="single" w:sz="6" w:space="0" w:color="00000A"/>
              <w:bottom w:val="single" w:sz="6" w:space="0" w:color="00000A"/>
              <w:right w:val="single" w:sz="6" w:space="0" w:color="00000A"/>
            </w:tcBorders>
            <w:shd w:val="clear" w:color="auto" w:fill="FFFFFF"/>
          </w:tcPr>
          <w:p w14:paraId="774811D7" w14:textId="47079072" w:rsidR="00250CC4" w:rsidRDefault="00250CC4">
            <w:pPr>
              <w:autoSpaceDE w:val="0"/>
              <w:autoSpaceDN w:val="0"/>
              <w:adjustRightInd w:val="0"/>
              <w:spacing w:after="240" w:line="240" w:lineRule="auto"/>
              <w:ind w:firstLine="0"/>
              <w:rPr>
                <w:color w:val="00000A"/>
                <w:sz w:val="48"/>
                <w:szCs w:val="48"/>
                <w:lang w:val="x-none"/>
              </w:rPr>
            </w:pPr>
            <w:r>
              <w:rPr>
                <w:color w:val="00000A"/>
                <w:sz w:val="48"/>
                <w:szCs w:val="48"/>
                <w:lang w:val="x-none"/>
              </w:rPr>
              <w:t>X</w:t>
            </w:r>
          </w:p>
        </w:tc>
        <w:tc>
          <w:tcPr>
            <w:tcW w:w="1275" w:type="dxa"/>
            <w:tcBorders>
              <w:top w:val="single" w:sz="6" w:space="0" w:color="00000A"/>
              <w:left w:val="single" w:sz="6" w:space="0" w:color="00000A"/>
              <w:bottom w:val="single" w:sz="6" w:space="0" w:color="00000A"/>
              <w:right w:val="single" w:sz="6" w:space="0" w:color="00000A"/>
            </w:tcBorders>
            <w:shd w:val="clear" w:color="auto" w:fill="FFFFFF"/>
          </w:tcPr>
          <w:p w14:paraId="22E16F20" w14:textId="2AC79E10" w:rsidR="00250CC4" w:rsidRDefault="00250CC4">
            <w:pPr>
              <w:autoSpaceDE w:val="0"/>
              <w:autoSpaceDN w:val="0"/>
              <w:adjustRightInd w:val="0"/>
              <w:spacing w:after="240" w:line="240" w:lineRule="auto"/>
              <w:ind w:firstLine="0"/>
              <w:rPr>
                <w:color w:val="00000A"/>
                <w:sz w:val="48"/>
                <w:szCs w:val="48"/>
                <w:lang w:val="x-none"/>
              </w:rPr>
            </w:pPr>
          </w:p>
        </w:tc>
        <w:tc>
          <w:tcPr>
            <w:tcW w:w="1380" w:type="dxa"/>
            <w:tcBorders>
              <w:top w:val="single" w:sz="6" w:space="0" w:color="00000A"/>
              <w:left w:val="single" w:sz="6" w:space="0" w:color="00000A"/>
              <w:bottom w:val="single" w:sz="6" w:space="0" w:color="00000A"/>
              <w:right w:val="single" w:sz="6" w:space="0" w:color="00000A"/>
            </w:tcBorders>
            <w:shd w:val="clear" w:color="auto" w:fill="FFFFFF"/>
          </w:tcPr>
          <w:p w14:paraId="3D70E894" w14:textId="77777777" w:rsidR="00250CC4" w:rsidRDefault="00250CC4">
            <w:pPr>
              <w:autoSpaceDE w:val="0"/>
              <w:autoSpaceDN w:val="0"/>
              <w:adjustRightInd w:val="0"/>
              <w:spacing w:after="240" w:line="240" w:lineRule="auto"/>
              <w:ind w:firstLine="0"/>
              <w:rPr>
                <w:color w:val="00000A"/>
                <w:lang w:val="x-none"/>
              </w:rPr>
            </w:pPr>
          </w:p>
        </w:tc>
      </w:tr>
    </w:tbl>
    <w:p w14:paraId="4FA40368" w14:textId="083D4DF1" w:rsidR="00250CC4" w:rsidRDefault="00250CC4" w:rsidP="00250CC4">
      <w:pPr>
        <w:ind w:firstLine="0"/>
        <w:rPr>
          <w:b/>
          <w:bCs/>
          <w:color w:val="000000"/>
          <w:sz w:val="36"/>
          <w:szCs w:val="36"/>
          <w:lang w:val="x-none"/>
        </w:rPr>
      </w:pPr>
      <w:r>
        <w:rPr>
          <w:b/>
          <w:bCs/>
          <w:color w:val="000000"/>
          <w:sz w:val="36"/>
          <w:szCs w:val="36"/>
          <w:lang w:val="x-none"/>
        </w:rPr>
        <w:t>Final grade: B</w:t>
      </w:r>
    </w:p>
    <w:p w14:paraId="7262BAFD" w14:textId="77777777" w:rsidR="00250CC4" w:rsidRDefault="00250CC4" w:rsidP="00250CC4">
      <w:pPr>
        <w:ind w:firstLine="0"/>
      </w:pPr>
    </w:p>
    <w:p w14:paraId="55F132C8" w14:textId="77777777" w:rsidR="0051686D" w:rsidRDefault="0051686D" w:rsidP="0091093B">
      <w:pPr>
        <w:ind w:firstLine="0"/>
        <w:jc w:val="center"/>
      </w:pPr>
    </w:p>
    <w:p w14:paraId="32494199" w14:textId="77777777" w:rsidR="0051686D" w:rsidRDefault="0051686D" w:rsidP="0091093B">
      <w:pPr>
        <w:ind w:firstLine="0"/>
        <w:jc w:val="center"/>
      </w:pPr>
    </w:p>
    <w:p w14:paraId="55A31ADB" w14:textId="77777777" w:rsidR="0051686D" w:rsidRDefault="0051686D" w:rsidP="0091093B">
      <w:pPr>
        <w:ind w:firstLine="0"/>
        <w:jc w:val="center"/>
      </w:pPr>
    </w:p>
    <w:p w14:paraId="4EEF2862" w14:textId="77777777" w:rsidR="0051686D" w:rsidRDefault="0051686D" w:rsidP="0091093B">
      <w:pPr>
        <w:ind w:firstLine="0"/>
        <w:jc w:val="center"/>
      </w:pPr>
    </w:p>
    <w:p w14:paraId="6BF3F708" w14:textId="77777777" w:rsidR="0051686D" w:rsidRDefault="0051686D" w:rsidP="0091093B">
      <w:pPr>
        <w:ind w:firstLine="0"/>
        <w:jc w:val="center"/>
      </w:pPr>
    </w:p>
    <w:p w14:paraId="321B4C49" w14:textId="77777777" w:rsidR="0051686D" w:rsidRDefault="0051686D" w:rsidP="0091093B">
      <w:pPr>
        <w:ind w:firstLine="0"/>
        <w:jc w:val="center"/>
      </w:pPr>
    </w:p>
    <w:p w14:paraId="29F5AF3F" w14:textId="77777777" w:rsidR="0051686D" w:rsidRDefault="0051686D" w:rsidP="0091093B">
      <w:pPr>
        <w:ind w:firstLine="0"/>
        <w:jc w:val="center"/>
      </w:pPr>
    </w:p>
    <w:p w14:paraId="247CAF95" w14:textId="77777777" w:rsidR="0051686D" w:rsidRDefault="0051686D" w:rsidP="0091093B">
      <w:pPr>
        <w:ind w:firstLine="0"/>
        <w:jc w:val="center"/>
      </w:pPr>
    </w:p>
    <w:p w14:paraId="72192EC6" w14:textId="77777777" w:rsidR="0051686D" w:rsidRDefault="0051686D" w:rsidP="0091093B">
      <w:pPr>
        <w:ind w:firstLine="0"/>
        <w:jc w:val="center"/>
      </w:pPr>
    </w:p>
    <w:p w14:paraId="4C90B2C9" w14:textId="77777777" w:rsidR="0051686D" w:rsidRDefault="0051686D" w:rsidP="0091093B">
      <w:pPr>
        <w:ind w:firstLine="0"/>
        <w:jc w:val="center"/>
      </w:pPr>
    </w:p>
    <w:p w14:paraId="1C712323" w14:textId="77777777" w:rsidR="0051686D" w:rsidRDefault="0051686D" w:rsidP="0091093B">
      <w:pPr>
        <w:ind w:firstLine="0"/>
        <w:jc w:val="center"/>
      </w:pPr>
    </w:p>
    <w:p w14:paraId="1355ECCB" w14:textId="77777777" w:rsidR="0051686D" w:rsidRDefault="0051686D" w:rsidP="0091093B">
      <w:pPr>
        <w:ind w:firstLine="0"/>
        <w:jc w:val="center"/>
      </w:pPr>
    </w:p>
    <w:p w14:paraId="1572E432" w14:textId="77777777" w:rsidR="0051686D" w:rsidRDefault="0051686D" w:rsidP="0091093B">
      <w:pPr>
        <w:ind w:firstLine="0"/>
        <w:jc w:val="center"/>
      </w:pPr>
    </w:p>
    <w:p w14:paraId="38D0F927" w14:textId="77777777" w:rsidR="0051686D" w:rsidRDefault="0051686D" w:rsidP="0091093B">
      <w:pPr>
        <w:ind w:firstLine="0"/>
        <w:jc w:val="center"/>
      </w:pPr>
    </w:p>
    <w:p w14:paraId="6123D54B" w14:textId="77777777" w:rsidR="0051686D" w:rsidRDefault="0051686D" w:rsidP="0091093B">
      <w:pPr>
        <w:ind w:firstLine="0"/>
        <w:jc w:val="center"/>
      </w:pPr>
    </w:p>
    <w:p w14:paraId="2F9FBBFC" w14:textId="77777777" w:rsidR="0051686D" w:rsidRDefault="0051686D" w:rsidP="0091093B">
      <w:pPr>
        <w:ind w:firstLine="0"/>
        <w:jc w:val="center"/>
      </w:pPr>
    </w:p>
    <w:p w14:paraId="56B87E76" w14:textId="77777777" w:rsidR="0051686D" w:rsidRDefault="0051686D" w:rsidP="0091093B">
      <w:pPr>
        <w:ind w:firstLine="0"/>
        <w:jc w:val="center"/>
      </w:pPr>
    </w:p>
    <w:p w14:paraId="4F49D9A5" w14:textId="77777777" w:rsidR="0051686D" w:rsidRDefault="0051686D" w:rsidP="0091093B">
      <w:pPr>
        <w:ind w:firstLine="0"/>
        <w:jc w:val="center"/>
      </w:pPr>
    </w:p>
    <w:p w14:paraId="389A14EA" w14:textId="77777777" w:rsidR="0051686D" w:rsidRDefault="0051686D" w:rsidP="0091093B">
      <w:pPr>
        <w:ind w:firstLine="0"/>
        <w:jc w:val="center"/>
      </w:pPr>
    </w:p>
    <w:p w14:paraId="36D84374" w14:textId="77777777" w:rsidR="0051686D" w:rsidRDefault="0051686D" w:rsidP="0091093B">
      <w:pPr>
        <w:ind w:firstLine="0"/>
        <w:jc w:val="center"/>
      </w:pPr>
    </w:p>
    <w:p w14:paraId="032213A8" w14:textId="0A213418" w:rsidR="00284D80" w:rsidRPr="00284D80" w:rsidRDefault="00B62A86" w:rsidP="0091093B">
      <w:pPr>
        <w:ind w:firstLine="0"/>
        <w:jc w:val="center"/>
      </w:pPr>
      <w:r>
        <w:t>References</w:t>
      </w:r>
    </w:p>
    <w:p w14:paraId="4D58CFE6" w14:textId="77777777" w:rsidR="00284D80" w:rsidRPr="002A3EEB" w:rsidRDefault="00284D80" w:rsidP="0091093B">
      <w:pPr>
        <w:ind w:left="720" w:hanging="720"/>
        <w:jc w:val="both"/>
      </w:pPr>
      <w:r w:rsidRPr="002A3EEB">
        <w:rPr>
          <w:color w:val="222222"/>
          <w:shd w:val="clear" w:color="auto" w:fill="FFFFFF"/>
        </w:rPr>
        <w:t>Coon, M. (2017). Local immigration enforcement and arrests of the Hispanic population. </w:t>
      </w:r>
      <w:r w:rsidRPr="002A3EEB">
        <w:rPr>
          <w:i/>
          <w:iCs/>
          <w:color w:val="222222"/>
          <w:shd w:val="clear" w:color="auto" w:fill="FFFFFF"/>
        </w:rPr>
        <w:t>Journal on Migration and Human Security</w:t>
      </w:r>
      <w:r w:rsidRPr="002A3EEB">
        <w:rPr>
          <w:color w:val="222222"/>
          <w:shd w:val="clear" w:color="auto" w:fill="FFFFFF"/>
        </w:rPr>
        <w:t>, </w:t>
      </w:r>
      <w:r w:rsidRPr="002A3EEB">
        <w:rPr>
          <w:i/>
          <w:iCs/>
          <w:color w:val="222222"/>
          <w:shd w:val="clear" w:color="auto" w:fill="FFFFFF"/>
        </w:rPr>
        <w:t>5</w:t>
      </w:r>
      <w:r w:rsidRPr="002A3EEB">
        <w:rPr>
          <w:color w:val="222222"/>
          <w:shd w:val="clear" w:color="auto" w:fill="FFFFFF"/>
        </w:rPr>
        <w:t>(3), 645-666.</w:t>
      </w:r>
    </w:p>
    <w:p w14:paraId="632C896A" w14:textId="77777777" w:rsidR="00284D80" w:rsidRPr="002A3EEB" w:rsidRDefault="00284D80" w:rsidP="0091093B">
      <w:pPr>
        <w:ind w:left="720" w:hanging="720"/>
        <w:jc w:val="both"/>
      </w:pPr>
      <w:r w:rsidRPr="002A3EEB">
        <w:rPr>
          <w:color w:val="222222"/>
          <w:shd w:val="clear" w:color="auto" w:fill="FFFFFF"/>
        </w:rPr>
        <w:t>Donohue, L. K. (2018). Brief of Amicus Curiae, In re Opinions &amp; Orders of this Court Addressing Bulk Collection of Data Under the Foreign Intelligence Surveillance Act, No. Misc. 13-08 (FISA Ct. June 13th, 2018).</w:t>
      </w:r>
    </w:p>
    <w:p w14:paraId="3EA096B4" w14:textId="77777777" w:rsidR="00284D80" w:rsidRPr="00FD4706" w:rsidRDefault="00284D80" w:rsidP="0091093B">
      <w:pPr>
        <w:ind w:left="720" w:hangingChars="300" w:hanging="720"/>
        <w:rPr>
          <w:color w:val="222222"/>
          <w:shd w:val="clear" w:color="auto" w:fill="FFFFFF"/>
        </w:rPr>
      </w:pPr>
      <w:r w:rsidRPr="00FD4706">
        <w:rPr>
          <w:color w:val="222222"/>
          <w:shd w:val="clear" w:color="auto" w:fill="FFFFFF"/>
        </w:rPr>
        <w:t>Epp, C. R., Maynard‐Moody, S., &amp; Haider‐Markel, D. (2017). Beyond profiling: The institutional sources of racial disparities in policing. </w:t>
      </w:r>
      <w:r w:rsidRPr="00FD4706">
        <w:rPr>
          <w:i/>
          <w:iCs/>
          <w:color w:val="222222"/>
          <w:shd w:val="clear" w:color="auto" w:fill="FFFFFF"/>
        </w:rPr>
        <w:t>Public Administration Review</w:t>
      </w:r>
      <w:r w:rsidRPr="00FD4706">
        <w:rPr>
          <w:color w:val="222222"/>
          <w:shd w:val="clear" w:color="auto" w:fill="FFFFFF"/>
        </w:rPr>
        <w:t>, </w:t>
      </w:r>
      <w:r w:rsidRPr="00FD4706">
        <w:rPr>
          <w:i/>
          <w:iCs/>
          <w:color w:val="222222"/>
          <w:shd w:val="clear" w:color="auto" w:fill="FFFFFF"/>
        </w:rPr>
        <w:t>77</w:t>
      </w:r>
      <w:r w:rsidRPr="00FD4706">
        <w:rPr>
          <w:color w:val="222222"/>
          <w:shd w:val="clear" w:color="auto" w:fill="FFFFFF"/>
        </w:rPr>
        <w:t>(2), 168-178.</w:t>
      </w:r>
    </w:p>
    <w:p w14:paraId="31C24026" w14:textId="77777777" w:rsidR="00284D80" w:rsidRPr="002A3EEB" w:rsidRDefault="00284D80" w:rsidP="0091093B">
      <w:pPr>
        <w:ind w:left="720" w:hanging="720"/>
        <w:jc w:val="both"/>
      </w:pPr>
      <w:r w:rsidRPr="002A3EEB">
        <w:rPr>
          <w:color w:val="222222"/>
          <w:shd w:val="clear" w:color="auto" w:fill="FFFFFF"/>
        </w:rPr>
        <w:t>Harris, D. A. (2020). Racial Profiling: Past, Present, and Future?. </w:t>
      </w:r>
      <w:r w:rsidRPr="002A3EEB">
        <w:rPr>
          <w:i/>
          <w:iCs/>
          <w:color w:val="222222"/>
          <w:shd w:val="clear" w:color="auto" w:fill="FFFFFF"/>
        </w:rPr>
        <w:t>Criminal Justice</w:t>
      </w:r>
      <w:r w:rsidRPr="002A3EEB">
        <w:rPr>
          <w:color w:val="222222"/>
          <w:shd w:val="clear" w:color="auto" w:fill="FFFFFF"/>
        </w:rPr>
        <w:t>, </w:t>
      </w:r>
      <w:r w:rsidRPr="002A3EEB">
        <w:rPr>
          <w:i/>
          <w:iCs/>
          <w:color w:val="222222"/>
          <w:shd w:val="clear" w:color="auto" w:fill="FFFFFF"/>
        </w:rPr>
        <w:t>34</w:t>
      </w:r>
      <w:r w:rsidRPr="002A3EEB">
        <w:rPr>
          <w:color w:val="222222"/>
          <w:shd w:val="clear" w:color="auto" w:fill="FFFFFF"/>
        </w:rPr>
        <w:t>, 10.</w:t>
      </w:r>
    </w:p>
    <w:p w14:paraId="0423B399" w14:textId="77777777" w:rsidR="00284D80" w:rsidRPr="002A3EEB" w:rsidRDefault="00284D80" w:rsidP="0091093B">
      <w:pPr>
        <w:ind w:left="720" w:hanging="720"/>
        <w:jc w:val="both"/>
      </w:pPr>
      <w:r w:rsidRPr="002A3EEB">
        <w:rPr>
          <w:color w:val="222222"/>
          <w:shd w:val="clear" w:color="auto" w:fill="FFFFFF"/>
        </w:rPr>
        <w:t>Henzel, C. K. (2020). </w:t>
      </w:r>
      <w:r w:rsidRPr="002A3EEB">
        <w:rPr>
          <w:i/>
          <w:iCs/>
          <w:color w:val="222222"/>
          <w:shd w:val="clear" w:color="auto" w:fill="FFFFFF"/>
        </w:rPr>
        <w:t>US Immigration and Customs Enforcement</w:t>
      </w:r>
      <w:r w:rsidRPr="002A3EEB">
        <w:rPr>
          <w:color w:val="222222"/>
          <w:shd w:val="clear" w:color="auto" w:fill="FFFFFF"/>
        </w:rPr>
        <w:t>. ABDO.</w:t>
      </w:r>
      <w:r w:rsidRPr="002A3EEB">
        <w:t>AA</w:t>
      </w:r>
    </w:p>
    <w:p w14:paraId="68AD9420" w14:textId="77777777" w:rsidR="00284D80" w:rsidRPr="002A3EEB" w:rsidRDefault="00284D80" w:rsidP="0091093B">
      <w:pPr>
        <w:ind w:left="720" w:hanging="720"/>
        <w:jc w:val="both"/>
      </w:pPr>
      <w:r w:rsidRPr="002A3EEB">
        <w:rPr>
          <w:color w:val="222222"/>
          <w:shd w:val="clear" w:color="auto" w:fill="FFFFFF"/>
        </w:rPr>
        <w:t>Jaime, P. (2018). Recycling the idea of race: socio-political agenda, transnational business culture, and diversity management in Brazil. </w:t>
      </w:r>
      <w:r w:rsidRPr="002A3EEB">
        <w:rPr>
          <w:i/>
          <w:iCs/>
          <w:color w:val="222222"/>
          <w:shd w:val="clear" w:color="auto" w:fill="FFFFFF"/>
        </w:rPr>
        <w:t>Social Identities</w:t>
      </w:r>
      <w:r w:rsidRPr="002A3EEB">
        <w:rPr>
          <w:color w:val="222222"/>
          <w:shd w:val="clear" w:color="auto" w:fill="FFFFFF"/>
        </w:rPr>
        <w:t>, </w:t>
      </w:r>
      <w:r w:rsidRPr="002A3EEB">
        <w:rPr>
          <w:i/>
          <w:iCs/>
          <w:color w:val="222222"/>
          <w:shd w:val="clear" w:color="auto" w:fill="FFFFFF"/>
        </w:rPr>
        <w:t>24</w:t>
      </w:r>
      <w:r w:rsidRPr="002A3EEB">
        <w:rPr>
          <w:color w:val="222222"/>
          <w:shd w:val="clear" w:color="auto" w:fill="FFFFFF"/>
        </w:rPr>
        <w:t>(5), 647-665.</w:t>
      </w:r>
    </w:p>
    <w:p w14:paraId="66187B85" w14:textId="77777777" w:rsidR="00284D80" w:rsidRPr="001061B4" w:rsidRDefault="00284D80" w:rsidP="0091093B">
      <w:pPr>
        <w:ind w:left="720" w:hangingChars="300" w:hanging="720"/>
        <w:jc w:val="both"/>
      </w:pPr>
      <w:r w:rsidRPr="001061B4">
        <w:rPr>
          <w:color w:val="222222"/>
          <w:shd w:val="clear" w:color="auto" w:fill="FFFFFF"/>
        </w:rPr>
        <w:t>McCabe, J. E., Kaminski, R. J., &amp; Boehme, H. M. (2020). Racial profiling and CT motor vehicle stops: an observational study in three towns. </w:t>
      </w:r>
      <w:r w:rsidRPr="001061B4">
        <w:rPr>
          <w:i/>
          <w:iCs/>
          <w:color w:val="222222"/>
          <w:shd w:val="clear" w:color="auto" w:fill="FFFFFF"/>
        </w:rPr>
        <w:t>Police Practice and Research</w:t>
      </w:r>
      <w:r w:rsidRPr="001061B4">
        <w:rPr>
          <w:color w:val="222222"/>
          <w:shd w:val="clear" w:color="auto" w:fill="FFFFFF"/>
        </w:rPr>
        <w:t>, 1-18.</w:t>
      </w:r>
    </w:p>
    <w:p w14:paraId="57EEE5F5" w14:textId="77777777" w:rsidR="00284D80" w:rsidRPr="001061B4" w:rsidRDefault="00284D80" w:rsidP="0091093B">
      <w:pPr>
        <w:ind w:left="720" w:hangingChars="300" w:hanging="720"/>
        <w:jc w:val="both"/>
      </w:pPr>
      <w:r w:rsidRPr="001061B4">
        <w:rPr>
          <w:color w:val="222222"/>
          <w:shd w:val="clear" w:color="auto" w:fill="FFFFFF"/>
        </w:rPr>
        <w:t>Mogensen, A. (2019). Racial profiling and cumulative injustice. </w:t>
      </w:r>
      <w:r w:rsidRPr="001061B4">
        <w:rPr>
          <w:i/>
          <w:iCs/>
          <w:color w:val="222222"/>
          <w:shd w:val="clear" w:color="auto" w:fill="FFFFFF"/>
        </w:rPr>
        <w:t>Philosophy and Phenomenological Research</w:t>
      </w:r>
      <w:r w:rsidRPr="001061B4">
        <w:rPr>
          <w:color w:val="222222"/>
          <w:shd w:val="clear" w:color="auto" w:fill="FFFFFF"/>
        </w:rPr>
        <w:t>, </w:t>
      </w:r>
      <w:r w:rsidRPr="001061B4">
        <w:rPr>
          <w:i/>
          <w:iCs/>
          <w:color w:val="222222"/>
          <w:shd w:val="clear" w:color="auto" w:fill="FFFFFF"/>
        </w:rPr>
        <w:t>98</w:t>
      </w:r>
      <w:r w:rsidRPr="001061B4">
        <w:rPr>
          <w:color w:val="222222"/>
          <w:shd w:val="clear" w:color="auto" w:fill="FFFFFF"/>
        </w:rPr>
        <w:t>(2), 452-477.</w:t>
      </w:r>
    </w:p>
    <w:p w14:paraId="1C7C09C8" w14:textId="77777777" w:rsidR="00284D80" w:rsidRDefault="00284D80" w:rsidP="0091093B">
      <w:pPr>
        <w:ind w:left="720" w:hangingChars="300" w:hanging="720"/>
        <w:jc w:val="both"/>
        <w:rPr>
          <w:color w:val="222222"/>
          <w:shd w:val="clear" w:color="auto" w:fill="FFFFFF"/>
        </w:rPr>
      </w:pPr>
      <w:r w:rsidRPr="001061B4">
        <w:rPr>
          <w:color w:val="222222"/>
          <w:shd w:val="clear" w:color="auto" w:fill="FFFFFF"/>
        </w:rPr>
        <w:t>Nadal, K. L., Davidoff, K. C., Allicock, N., Serpe, C. R., &amp; Erazo, T. (2017). Perceptions of police, racial profiling, and psychological outcomes: A mixed methodological study. </w:t>
      </w:r>
      <w:r w:rsidRPr="001061B4">
        <w:rPr>
          <w:i/>
          <w:iCs/>
          <w:color w:val="222222"/>
          <w:shd w:val="clear" w:color="auto" w:fill="FFFFFF"/>
        </w:rPr>
        <w:t>Journal of Social Issues</w:t>
      </w:r>
      <w:r w:rsidRPr="001061B4">
        <w:rPr>
          <w:color w:val="222222"/>
          <w:shd w:val="clear" w:color="auto" w:fill="FFFFFF"/>
        </w:rPr>
        <w:t>, </w:t>
      </w:r>
      <w:r w:rsidRPr="001061B4">
        <w:rPr>
          <w:i/>
          <w:iCs/>
          <w:color w:val="222222"/>
          <w:shd w:val="clear" w:color="auto" w:fill="FFFFFF"/>
        </w:rPr>
        <w:t>73</w:t>
      </w:r>
      <w:r w:rsidRPr="001061B4">
        <w:rPr>
          <w:color w:val="222222"/>
          <w:shd w:val="clear" w:color="auto" w:fill="FFFFFF"/>
        </w:rPr>
        <w:t>(4), 808-830.</w:t>
      </w:r>
    </w:p>
    <w:p w14:paraId="77420117" w14:textId="77777777" w:rsidR="00284D80" w:rsidRPr="002A3EEB" w:rsidRDefault="00284D80" w:rsidP="0091093B">
      <w:pPr>
        <w:ind w:left="720" w:hanging="720"/>
        <w:jc w:val="both"/>
        <w:rPr>
          <w:color w:val="222222"/>
          <w:shd w:val="clear" w:color="auto" w:fill="FFFFFF"/>
        </w:rPr>
      </w:pPr>
      <w:r w:rsidRPr="002A3EEB">
        <w:rPr>
          <w:color w:val="222222"/>
          <w:shd w:val="clear" w:color="auto" w:fill="FFFFFF"/>
        </w:rPr>
        <w:t>Shaw, Y., Pollio, D. E., &amp; North, C. S. (2020). Changes in perceptions and attitudes toward self and others in survivors of the September 11th, 2001, terrorist attacks. </w:t>
      </w:r>
      <w:r w:rsidRPr="002A3EEB">
        <w:rPr>
          <w:i/>
          <w:iCs/>
          <w:color w:val="222222"/>
          <w:shd w:val="clear" w:color="auto" w:fill="FFFFFF"/>
        </w:rPr>
        <w:t>Traumatology</w:t>
      </w:r>
      <w:r w:rsidRPr="002A3EEB">
        <w:rPr>
          <w:color w:val="222222"/>
          <w:shd w:val="clear" w:color="auto" w:fill="FFFFFF"/>
        </w:rPr>
        <w:t>.</w:t>
      </w:r>
    </w:p>
    <w:p w14:paraId="3A30CFEF" w14:textId="77777777" w:rsidR="00284D80" w:rsidRPr="002A3EEB" w:rsidRDefault="00284D80" w:rsidP="0091093B">
      <w:pPr>
        <w:ind w:left="720" w:hanging="720"/>
        <w:jc w:val="both"/>
      </w:pPr>
      <w:r w:rsidRPr="002A3EEB">
        <w:rPr>
          <w:color w:val="222222"/>
          <w:shd w:val="clear" w:color="auto" w:fill="FFFFFF"/>
        </w:rPr>
        <w:t>Shjarback, J., Decker, S., Rojek, J. J., &amp; Brunson, R. K. (2017). Minority representation in policing and racial profiling. </w:t>
      </w:r>
      <w:r w:rsidRPr="002A3EEB">
        <w:rPr>
          <w:i/>
          <w:iCs/>
          <w:color w:val="222222"/>
          <w:shd w:val="clear" w:color="auto" w:fill="FFFFFF"/>
        </w:rPr>
        <w:t>Policing: An International Journal of Police Strategies &amp; Management</w:t>
      </w:r>
      <w:r w:rsidRPr="002A3EEB">
        <w:rPr>
          <w:color w:val="222222"/>
          <w:shd w:val="clear" w:color="auto" w:fill="FFFFFF"/>
        </w:rPr>
        <w:t>.</w:t>
      </w:r>
    </w:p>
    <w:sectPr w:rsidR="00284D80" w:rsidRPr="002A3EEB" w:rsidSect="002E7469">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ogerchao@oakland.edu" w:date="2021-03-25T20:13:00Z" w:initials="r">
    <w:p w14:paraId="20A31F3B" w14:textId="4B13B25E" w:rsidR="00A32BDA" w:rsidRDefault="00A32BDA">
      <w:pPr>
        <w:pStyle w:val="CommentText"/>
      </w:pPr>
      <w:r>
        <w:rPr>
          <w:rStyle w:val="CommentReference"/>
        </w:rPr>
        <w:annotationRef/>
      </w:r>
      <w:r>
        <w:t xml:space="preserve">We want to avoid “fuzzy” language like this in research writing – when you say “seems inherent” it does not make your points/arguments convincing. Consider rephrasing this statement. </w:t>
      </w:r>
    </w:p>
  </w:comment>
  <w:comment w:id="1" w:author="rogerchao@oakland.edu" w:date="2021-03-25T20:12:00Z" w:initials="r">
    <w:p w14:paraId="05DBF40C" w14:textId="6456F6FD" w:rsidR="00A32BDA" w:rsidRDefault="00A32BDA">
      <w:pPr>
        <w:pStyle w:val="CommentText"/>
      </w:pPr>
      <w:r>
        <w:rPr>
          <w:rStyle w:val="CommentReference"/>
        </w:rPr>
        <w:annotationRef/>
      </w:r>
      <w:r>
        <w:rPr>
          <w:rFonts w:ascii="Arial" w:hAnsi="Arial" w:cs="Arial"/>
          <w:color w:val="000000"/>
          <w:lang w:val="x-none"/>
        </w:rPr>
        <w:t>Careful – you have an extra space here.</w:t>
      </w:r>
    </w:p>
  </w:comment>
  <w:comment w:id="2" w:author="rogerchao@oakland.edu" w:date="2021-03-25T20:14:00Z" w:initials="r">
    <w:p w14:paraId="5EA05CE1" w14:textId="5F678E2B" w:rsidR="00767BD1" w:rsidRDefault="00767BD1">
      <w:pPr>
        <w:pStyle w:val="CommentText"/>
      </w:pPr>
      <w:r>
        <w:rPr>
          <w:rStyle w:val="CommentReference"/>
        </w:rPr>
        <w:annotationRef/>
      </w:r>
      <w:r>
        <w:t>Be more specific here – what September attack are you referring to? (I know which one you are referring to, but for the sake of the reader, you want to be specific)</w:t>
      </w:r>
    </w:p>
  </w:comment>
  <w:comment w:id="3" w:author="rogerchao@oakland.edu" w:date="2021-03-25T20:08:00Z" w:initials="r">
    <w:p w14:paraId="0DCD06D6" w14:textId="09241C5D" w:rsidR="00C3411A" w:rsidRDefault="00C3411A">
      <w:pPr>
        <w:pStyle w:val="CommentText"/>
      </w:pPr>
      <w:r>
        <w:rPr>
          <w:rStyle w:val="CommentReference"/>
        </w:rPr>
        <w:annotationRef/>
      </w:r>
      <w:r>
        <w:t xml:space="preserve">Instead of a title before the introduction paragraph, APA rules stipulate that you need a title page. Please refer to the APA-related documents on our Moodle. </w:t>
      </w:r>
    </w:p>
  </w:comment>
  <w:comment w:id="4" w:author="rogerchao@oakland.edu" w:date="2021-03-25T20:20:00Z" w:initials="r">
    <w:p w14:paraId="3D6A5118" w14:textId="0EF2A25D" w:rsidR="00AF333B" w:rsidRDefault="00AF333B">
      <w:pPr>
        <w:pStyle w:val="CommentText"/>
      </w:pPr>
      <w:r>
        <w:rPr>
          <w:rStyle w:val="CommentReference"/>
        </w:rPr>
        <w:annotationRef/>
      </w:r>
      <w:r>
        <w:t>Great hook!</w:t>
      </w:r>
    </w:p>
  </w:comment>
  <w:comment w:id="5" w:author="rogerchao@oakland.edu" w:date="2021-03-25T20:24:00Z" w:initials="r">
    <w:p w14:paraId="0D4B7AF1" w14:textId="395C2F35" w:rsidR="00AF333B" w:rsidRDefault="00AF333B">
      <w:pPr>
        <w:pStyle w:val="CommentText"/>
      </w:pPr>
      <w:r>
        <w:rPr>
          <w:rStyle w:val="CommentReference"/>
        </w:rPr>
        <w:annotationRef/>
      </w:r>
      <w:r>
        <w:t>Write out this acronym</w:t>
      </w:r>
    </w:p>
  </w:comment>
  <w:comment w:id="6" w:author="rogerchao@oakland.edu" w:date="2021-03-25T20:41:00Z" w:initials="r">
    <w:p w14:paraId="111E0B70" w14:textId="10964E69" w:rsidR="00875258" w:rsidRDefault="00875258">
      <w:pPr>
        <w:pStyle w:val="CommentText"/>
      </w:pPr>
      <w:r>
        <w:rPr>
          <w:rStyle w:val="CommentReference"/>
        </w:rPr>
        <w:annotationRef/>
      </w:r>
      <w:r>
        <w:t>Zeinab, is this the overarching argument of your paper? If so, it needs to be revised since its current wording is a bit confusing. I’m not quite sure of the position or stance you are taking on this research topic</w:t>
      </w:r>
      <w:r w:rsidR="00456289">
        <w:t>.</w:t>
      </w:r>
    </w:p>
  </w:comment>
  <w:comment w:id="7" w:author="rogerchao@oakland.edu" w:date="2021-03-25T20:31:00Z" w:initials="r">
    <w:p w14:paraId="120CCE31" w14:textId="2F4B6881" w:rsidR="002412DB" w:rsidRDefault="002412DB">
      <w:pPr>
        <w:pStyle w:val="CommentText"/>
      </w:pPr>
      <w:r>
        <w:rPr>
          <w:rStyle w:val="CommentReference"/>
        </w:rPr>
        <w:annotationRef/>
      </w:r>
      <w:r>
        <w:t xml:space="preserve">While there are some good details in this introduction, I think you are already diving a bit too deep. Remember that your introduction paragraph should only be hinting at what is to come. I recommend following the MA2 outline template on our Moodle and creating a roadmap for your introduction paragraph. </w:t>
      </w:r>
    </w:p>
  </w:comment>
  <w:comment w:id="8" w:author="rogerchao@oakland.edu" w:date="2021-03-25T20:35:00Z" w:initials="r">
    <w:p w14:paraId="3D36C9AC" w14:textId="642D6FBA" w:rsidR="00B14EA8" w:rsidRDefault="00B14EA8">
      <w:pPr>
        <w:pStyle w:val="CommentText"/>
      </w:pPr>
      <w:r>
        <w:rPr>
          <w:rStyle w:val="CommentReference"/>
        </w:rPr>
        <w:annotationRef/>
      </w:r>
      <w:r>
        <w:t xml:space="preserve">You are referencing statistics here but not actually presenting any numbers. Please incorporate some of the actual numbers from the article into this section. </w:t>
      </w:r>
    </w:p>
  </w:comment>
  <w:comment w:id="9" w:author="rogerchao@oakland.edu" w:date="2021-03-25T20:50:00Z" w:initials="r">
    <w:p w14:paraId="49B2E605" w14:textId="6E3917EC" w:rsidR="009C40C3" w:rsidRDefault="009C40C3">
      <w:pPr>
        <w:pStyle w:val="CommentText"/>
      </w:pPr>
      <w:r>
        <w:rPr>
          <w:rStyle w:val="CommentReference"/>
        </w:rPr>
        <w:annotationRef/>
      </w:r>
      <w:r>
        <w:rPr>
          <w:rStyle w:val="CommentReference"/>
        </w:rPr>
        <w:annotationRef/>
      </w:r>
      <w:r>
        <w:t xml:space="preserve">Zeinab, this should be your “background” paragraph but it seems you are starting to dive right into your evidence and body paragraphs. Before that, you need to provide some contextual details about the history of police profiling </w:t>
      </w:r>
      <w:r>
        <w:t>in the US.</w:t>
      </w:r>
    </w:p>
  </w:comment>
  <w:comment w:id="10" w:author="rogerchao@oakland.edu" w:date="2021-03-25T20:51:00Z" w:initials="r">
    <w:p w14:paraId="24397055" w14:textId="65C4B247" w:rsidR="00EC6A78" w:rsidRDefault="00EC6A78">
      <w:pPr>
        <w:pStyle w:val="CommentText"/>
      </w:pPr>
      <w:r>
        <w:rPr>
          <w:rStyle w:val="CommentReference"/>
        </w:rPr>
        <w:annotationRef/>
      </w:r>
      <w:r>
        <w:t>What is the rest of the percentage made up of? If 4.5% is considered massive, and 2.1% is made up by whites, then what about the rest?</w:t>
      </w:r>
    </w:p>
  </w:comment>
  <w:comment w:id="11" w:author="rogerchao@oakland.edu" w:date="2021-03-25T20:53:00Z" w:initials="r">
    <w:p w14:paraId="1278CA35" w14:textId="293026C7" w:rsidR="00F7290A" w:rsidRDefault="00F7290A" w:rsidP="00F7290A">
      <w:pPr>
        <w:pStyle w:val="CommentText"/>
        <w:ind w:firstLine="0"/>
      </w:pPr>
      <w:r>
        <w:rPr>
          <w:rStyle w:val="CommentReference"/>
        </w:rPr>
        <w:annotationRef/>
      </w:r>
      <w:r>
        <w:t>Zeinab, the racial complications surrounding stop-and-</w:t>
      </w:r>
      <w:r w:rsidR="00E25070">
        <w:t>frisk</w:t>
      </w:r>
      <w:r>
        <w:t xml:space="preserve"> and racial profiling have been established for a while now. In other words, it is not an argument that sheds new light on the topic. Therefore, I would like to see you apply your evidence to a more specific overarching argument.  </w:t>
      </w:r>
    </w:p>
  </w:comment>
  <w:comment w:id="12" w:author="rogerchao@oakland.edu" w:date="2021-03-25T20:57:00Z" w:initials="r">
    <w:p w14:paraId="1ED8A822" w14:textId="17E96676" w:rsidR="00E25070" w:rsidRDefault="00E25070">
      <w:pPr>
        <w:pStyle w:val="CommentText"/>
      </w:pPr>
      <w:r>
        <w:rPr>
          <w:rStyle w:val="CommentReference"/>
        </w:rPr>
        <w:annotationRef/>
      </w:r>
      <w:r>
        <w:t>Such as?</w:t>
      </w:r>
    </w:p>
  </w:comment>
  <w:comment w:id="13" w:author="rogerchao@oakland.edu" w:date="2021-03-25T21:00:00Z" w:initials="r">
    <w:p w14:paraId="374C78EF" w14:textId="3EC5B6F6" w:rsidR="00E25070" w:rsidRDefault="00E25070">
      <w:pPr>
        <w:pStyle w:val="CommentText"/>
      </w:pPr>
      <w:r>
        <w:rPr>
          <w:rStyle w:val="CommentReference"/>
        </w:rPr>
        <w:annotationRef/>
      </w:r>
      <w:r>
        <w:t xml:space="preserve">Be careful with your phrasing here. It suggest an overall shift, which I don’t think is accurate. While you are correct in that more Arabs became wrongfully targeted, I am hesitant to agree that the entire lens shifted; other minorities in this country continued to feel oppression.  </w:t>
      </w:r>
    </w:p>
  </w:comment>
  <w:comment w:id="14" w:author="rogerchao@oakland.edu" w:date="2021-03-25T21:02:00Z" w:initials="r">
    <w:p w14:paraId="397FFD21" w14:textId="38312321" w:rsidR="00C720A9" w:rsidRDefault="00C720A9">
      <w:pPr>
        <w:pStyle w:val="CommentText"/>
      </w:pPr>
      <w:r>
        <w:rPr>
          <w:rStyle w:val="CommentReference"/>
        </w:rPr>
        <w:annotationRef/>
      </w:r>
      <w:r>
        <w:t xml:space="preserve">Zeinab, one issue that I have is that you are telling me about events that unfolded without connecting them to your overarching claim. In other words, I am not sure what all of this evidence is meant to support. </w:t>
      </w:r>
      <w:bookmarkStart w:id="15" w:name="OLE_LINK1"/>
      <w:r>
        <w:t xml:space="preserve">If it is simply meant to reinforce the idea that racism is prevalent in America, then I challenge you to come up with a more specific argument, since that one is far too general and discussed a lot in both popular and scholarly sources. </w:t>
      </w:r>
    </w:p>
    <w:bookmarkEnd w:id="15"/>
  </w:comment>
  <w:comment w:id="16" w:author="rogerchao@oakland.edu" w:date="2021-03-25T21:13:00Z" w:initials="r">
    <w:p w14:paraId="7A940A42" w14:textId="76557FB7" w:rsidR="005F0009" w:rsidRDefault="005F0009">
      <w:pPr>
        <w:pStyle w:val="CommentText"/>
      </w:pPr>
      <w:r>
        <w:rPr>
          <w:rStyle w:val="CommentReference"/>
        </w:rPr>
        <w:annotationRef/>
      </w:r>
      <w:r>
        <w:t>All of this is still pretty general. What exactly are the racial profiling tactics being implemented at the border? Im curious…</w:t>
      </w:r>
    </w:p>
  </w:comment>
  <w:comment w:id="17" w:author="rogerchao@oakland.edu" w:date="2021-03-25T21:15:00Z" w:initials="r">
    <w:p w14:paraId="7BB22584" w14:textId="40654D2B" w:rsidR="00EF42CA" w:rsidRDefault="00EF42CA">
      <w:pPr>
        <w:pStyle w:val="CommentText"/>
      </w:pPr>
      <w:r>
        <w:rPr>
          <w:rStyle w:val="CommentReference"/>
        </w:rPr>
        <w:annotationRef/>
      </w:r>
      <w:r>
        <w:t xml:space="preserve">These details no longer fit what you set out to discuss at the beginning of this paragraph, which is focusing on racial profiling at the border. </w:t>
      </w:r>
    </w:p>
  </w:comment>
  <w:comment w:id="18" w:author="rogerchao@oakland.edu" w:date="2021-03-25T21:18:00Z" w:initials="r">
    <w:p w14:paraId="3754D739" w14:textId="734DC10F" w:rsidR="00F87AA2" w:rsidRDefault="00F87AA2">
      <w:pPr>
        <w:pStyle w:val="CommentText"/>
      </w:pPr>
      <w:r>
        <w:rPr>
          <w:rStyle w:val="CommentReference"/>
        </w:rPr>
        <w:annotationRef/>
      </w:r>
      <w:r>
        <w:t xml:space="preserve">I would love to see some research into training protocol that would help officers achieve this. In other words, more specificity! </w:t>
      </w:r>
    </w:p>
  </w:comment>
  <w:comment w:id="19" w:author="rogerchao@oakland.edu" w:date="2021-03-25T21:19:00Z" w:initials="r">
    <w:p w14:paraId="012C8742" w14:textId="6C8C0264" w:rsidR="007813F6" w:rsidRDefault="007813F6">
      <w:pPr>
        <w:pStyle w:val="CommentText"/>
      </w:pPr>
      <w:r>
        <w:rPr>
          <w:rStyle w:val="CommentReference"/>
        </w:rPr>
        <w:annotationRef/>
      </w:r>
      <w:r>
        <w:t xml:space="preserve">Zeinab, this is my favorite detail of yours in this paper – you provided a very specific solution to a problem. I would love to see you reference more specific details like this. </w:t>
      </w:r>
    </w:p>
  </w:comment>
  <w:comment w:id="21" w:author="rogerchao@oakland.edu" w:date="2021-03-25T21:21:00Z" w:initials="r">
    <w:p w14:paraId="50AC7E5C" w14:textId="7E5FF047" w:rsidR="00250CC4" w:rsidRPr="00250CC4" w:rsidRDefault="00250CC4">
      <w:pPr>
        <w:pStyle w:val="CommentText"/>
      </w:pPr>
      <w:r>
        <w:rPr>
          <w:rStyle w:val="CommentReference"/>
        </w:rPr>
        <w:annotationRef/>
      </w:r>
      <w:r>
        <w:t xml:space="preserve">Zeinab, I’m not sure if I read a counteargument paragraph (one in which you addressed a counterpoint to your argument) or a stakes paragraph (one in which you identify </w:t>
      </w:r>
      <w:r>
        <w:rPr>
          <w:i/>
          <w:iCs/>
        </w:rPr>
        <w:t>why</w:t>
      </w:r>
      <w:r>
        <w:t xml:space="preserve"> your argument matters.)</w:t>
      </w:r>
    </w:p>
  </w:comment>
  <w:comment w:id="20" w:author="rogerchao@oakland.edu" w:date="2021-03-25T21:19:00Z" w:initials="r">
    <w:p w14:paraId="09FEFB95" w14:textId="614E7B93" w:rsidR="00D627CC" w:rsidRDefault="00D627CC" w:rsidP="00D627CC">
      <w:pPr>
        <w:pStyle w:val="CommentText"/>
      </w:pPr>
      <w:r>
        <w:rPr>
          <w:rStyle w:val="CommentReference"/>
        </w:rPr>
        <w:annotationRef/>
      </w:r>
      <w:r>
        <w:t xml:space="preserve">Zeinab, I have you have some solid evidence but it’s hard to see what they are contributing towards. Like I stated in one of my earlier comments, if this evidence </w:t>
      </w:r>
      <w:r>
        <w:t xml:space="preserve">is simply meant to reinforce the idea that racism is prevalent in America, then I challenge you to come up with a more specific argument, since that one is far too general and discussed a lot in both popular and scholarly sources. </w:t>
      </w:r>
    </w:p>
    <w:p w14:paraId="686FB9A5" w14:textId="16063555" w:rsidR="00D627CC" w:rsidRDefault="00D627C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A31F3B" w15:done="0"/>
  <w15:commentEx w15:paraId="05DBF40C" w15:done="0"/>
  <w15:commentEx w15:paraId="5EA05CE1" w15:done="0"/>
  <w15:commentEx w15:paraId="0DCD06D6" w15:done="0"/>
  <w15:commentEx w15:paraId="3D6A5118" w15:done="0"/>
  <w15:commentEx w15:paraId="0D4B7AF1" w15:done="0"/>
  <w15:commentEx w15:paraId="111E0B70" w15:done="0"/>
  <w15:commentEx w15:paraId="120CCE31" w15:done="0"/>
  <w15:commentEx w15:paraId="3D36C9AC" w15:done="0"/>
  <w15:commentEx w15:paraId="49B2E605" w15:done="0"/>
  <w15:commentEx w15:paraId="24397055" w15:done="0"/>
  <w15:commentEx w15:paraId="1278CA35" w15:done="0"/>
  <w15:commentEx w15:paraId="1ED8A822" w15:done="0"/>
  <w15:commentEx w15:paraId="374C78EF" w15:done="0"/>
  <w15:commentEx w15:paraId="397FFD21" w15:done="0"/>
  <w15:commentEx w15:paraId="7A940A42" w15:done="0"/>
  <w15:commentEx w15:paraId="7BB22584" w15:done="0"/>
  <w15:commentEx w15:paraId="3754D739" w15:done="0"/>
  <w15:commentEx w15:paraId="012C8742" w15:done="0"/>
  <w15:commentEx w15:paraId="50AC7E5C" w15:done="0"/>
  <w15:commentEx w15:paraId="686FB9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76D4F" w16cex:dateUtc="2021-03-26T00:13:00Z"/>
  <w16cex:commentExtensible w16cex:durableId="24076D48" w16cex:dateUtc="2021-03-26T00:12:00Z"/>
  <w16cex:commentExtensible w16cex:durableId="24076DAB" w16cex:dateUtc="2021-03-26T00:14:00Z"/>
  <w16cex:commentExtensible w16cex:durableId="24076C36" w16cex:dateUtc="2021-03-26T00:08:00Z"/>
  <w16cex:commentExtensible w16cex:durableId="24076F15" w16cex:dateUtc="2021-03-26T00:20:00Z"/>
  <w16cex:commentExtensible w16cex:durableId="24076FEB" w16cex:dateUtc="2021-03-26T00:24:00Z"/>
  <w16cex:commentExtensible w16cex:durableId="240773F0" w16cex:dateUtc="2021-03-26T00:41:00Z"/>
  <w16cex:commentExtensible w16cex:durableId="240771AB" w16cex:dateUtc="2021-03-26T00:31:00Z"/>
  <w16cex:commentExtensible w16cex:durableId="24077298" w16cex:dateUtc="2021-03-26T00:35:00Z"/>
  <w16cex:commentExtensible w16cex:durableId="240775FA" w16cex:dateUtc="2021-03-26T00:50:00Z"/>
  <w16cex:commentExtensible w16cex:durableId="24077665" w16cex:dateUtc="2021-03-26T00:51:00Z"/>
  <w16cex:commentExtensible w16cex:durableId="240776C8" w16cex:dateUtc="2021-03-26T00:53:00Z"/>
  <w16cex:commentExtensible w16cex:durableId="2407779F" w16cex:dateUtc="2021-03-26T00:57:00Z"/>
  <w16cex:commentExtensible w16cex:durableId="24077852" w16cex:dateUtc="2021-03-26T01:00:00Z"/>
  <w16cex:commentExtensible w16cex:durableId="240778D6" w16cex:dateUtc="2021-03-26T01:02:00Z"/>
  <w16cex:commentExtensible w16cex:durableId="24077B62" w16cex:dateUtc="2021-03-26T01:13:00Z"/>
  <w16cex:commentExtensible w16cex:durableId="24077BF6" w16cex:dateUtc="2021-03-26T01:15:00Z"/>
  <w16cex:commentExtensible w16cex:durableId="24077C94" w16cex:dateUtc="2021-03-26T01:18:00Z"/>
  <w16cex:commentExtensible w16cex:durableId="24077CCE" w16cex:dateUtc="2021-03-26T01:19:00Z"/>
  <w16cex:commentExtensible w16cex:durableId="24077D4A" w16cex:dateUtc="2021-03-26T01:21:00Z"/>
  <w16cex:commentExtensible w16cex:durableId="24077CFE" w16cex:dateUtc="2021-03-26T0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A31F3B" w16cid:durableId="24076D4F"/>
  <w16cid:commentId w16cid:paraId="05DBF40C" w16cid:durableId="24076D48"/>
  <w16cid:commentId w16cid:paraId="5EA05CE1" w16cid:durableId="24076DAB"/>
  <w16cid:commentId w16cid:paraId="0DCD06D6" w16cid:durableId="24076C36"/>
  <w16cid:commentId w16cid:paraId="3D6A5118" w16cid:durableId="24076F15"/>
  <w16cid:commentId w16cid:paraId="0D4B7AF1" w16cid:durableId="24076FEB"/>
  <w16cid:commentId w16cid:paraId="111E0B70" w16cid:durableId="240773F0"/>
  <w16cid:commentId w16cid:paraId="120CCE31" w16cid:durableId="240771AB"/>
  <w16cid:commentId w16cid:paraId="3D36C9AC" w16cid:durableId="24077298"/>
  <w16cid:commentId w16cid:paraId="49B2E605" w16cid:durableId="240775FA"/>
  <w16cid:commentId w16cid:paraId="24397055" w16cid:durableId="24077665"/>
  <w16cid:commentId w16cid:paraId="1278CA35" w16cid:durableId="240776C8"/>
  <w16cid:commentId w16cid:paraId="1ED8A822" w16cid:durableId="2407779F"/>
  <w16cid:commentId w16cid:paraId="374C78EF" w16cid:durableId="24077852"/>
  <w16cid:commentId w16cid:paraId="397FFD21" w16cid:durableId="240778D6"/>
  <w16cid:commentId w16cid:paraId="7A940A42" w16cid:durableId="24077B62"/>
  <w16cid:commentId w16cid:paraId="7BB22584" w16cid:durableId="24077BF6"/>
  <w16cid:commentId w16cid:paraId="3754D739" w16cid:durableId="24077C94"/>
  <w16cid:commentId w16cid:paraId="012C8742" w16cid:durableId="24077CCE"/>
  <w16cid:commentId w16cid:paraId="50AC7E5C" w16cid:durableId="24077D4A"/>
  <w16cid:commentId w16cid:paraId="686FB9A5" w16cid:durableId="24077C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E66D2" w14:textId="77777777" w:rsidR="00FB21DA" w:rsidRDefault="00FB21DA" w:rsidP="002E7469">
      <w:pPr>
        <w:spacing w:line="240" w:lineRule="auto"/>
      </w:pPr>
      <w:r>
        <w:separator/>
      </w:r>
    </w:p>
  </w:endnote>
  <w:endnote w:type="continuationSeparator" w:id="0">
    <w:p w14:paraId="275000F2" w14:textId="77777777" w:rsidR="00FB21DA" w:rsidRDefault="00FB21DA" w:rsidP="002E7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BD1AA" w14:textId="77777777" w:rsidR="00FB21DA" w:rsidRDefault="00FB21DA" w:rsidP="002E7469">
      <w:pPr>
        <w:spacing w:line="240" w:lineRule="auto"/>
      </w:pPr>
      <w:r>
        <w:separator/>
      </w:r>
    </w:p>
  </w:footnote>
  <w:footnote w:type="continuationSeparator" w:id="0">
    <w:p w14:paraId="27685CAC" w14:textId="77777777" w:rsidR="00FB21DA" w:rsidRDefault="00FB21DA" w:rsidP="002E74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937387"/>
      <w:docPartObj>
        <w:docPartGallery w:val="Page Numbers (Top of Page)"/>
        <w:docPartUnique/>
      </w:docPartObj>
    </w:sdtPr>
    <w:sdtEndPr>
      <w:rPr>
        <w:noProof/>
      </w:rPr>
    </w:sdtEndPr>
    <w:sdtContent>
      <w:p w14:paraId="44B0753A" w14:textId="6D952957" w:rsidR="002E7469" w:rsidRDefault="00BB4E42" w:rsidP="002E7469">
        <w:pPr>
          <w:pStyle w:val="Header"/>
          <w:ind w:firstLine="0"/>
        </w:pPr>
        <w:r>
          <w:t xml:space="preserve">POLICE </w:t>
        </w:r>
        <w:r w:rsidR="002E7469">
          <w:t xml:space="preserve">RACIAL PROFILING </w:t>
        </w:r>
        <w:r w:rsidR="002E7469">
          <w:tab/>
        </w:r>
        <w:r w:rsidR="002E7469">
          <w:tab/>
        </w:r>
        <w:r w:rsidR="002E7469">
          <w:fldChar w:fldCharType="begin"/>
        </w:r>
        <w:r w:rsidR="002E7469">
          <w:instrText xml:space="preserve"> PAGE   \* MERGEFORMAT </w:instrText>
        </w:r>
        <w:r w:rsidR="002E7469">
          <w:fldChar w:fldCharType="separate"/>
        </w:r>
        <w:r>
          <w:rPr>
            <w:noProof/>
          </w:rPr>
          <w:t>2</w:t>
        </w:r>
        <w:r w:rsidR="002E7469">
          <w:rPr>
            <w:noProof/>
          </w:rPr>
          <w:fldChar w:fldCharType="end"/>
        </w:r>
      </w:p>
    </w:sdtContent>
  </w:sdt>
  <w:p w14:paraId="32039D6E" w14:textId="77777777" w:rsidR="002E7469" w:rsidRDefault="002E7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5D0C5" w14:textId="658E3ABD" w:rsidR="002E7469" w:rsidRDefault="002E7469" w:rsidP="00016524">
    <w:pPr>
      <w:pStyle w:val="Header"/>
      <w:ind w:firstLine="0"/>
    </w:pPr>
    <w:r>
      <w:t xml:space="preserve">Running head: </w:t>
    </w:r>
    <w:r w:rsidR="00BB4E42">
      <w:t xml:space="preserve">POLICE </w:t>
    </w:r>
    <w:r>
      <w:t xml:space="preserve">RACIAL PROFILING </w:t>
    </w:r>
    <w:r>
      <w:tab/>
    </w:r>
    <w:r>
      <w:tab/>
      <w:t>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gerchao@oakland.edu">
    <w15:presenceInfo w15:providerId="None" w15:userId="rogerchao@oakland.e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wMQJS5iYGRsYWpko6SsGpxcWZ+XkgBUa1AAGXoiAsAAAA"/>
  </w:docVars>
  <w:rsids>
    <w:rsidRoot w:val="002E7469"/>
    <w:rsid w:val="00016524"/>
    <w:rsid w:val="001061B4"/>
    <w:rsid w:val="001167D0"/>
    <w:rsid w:val="001403E8"/>
    <w:rsid w:val="0023024A"/>
    <w:rsid w:val="002412DB"/>
    <w:rsid w:val="00250CC4"/>
    <w:rsid w:val="0026687B"/>
    <w:rsid w:val="00284D80"/>
    <w:rsid w:val="002967E5"/>
    <w:rsid w:val="002E7469"/>
    <w:rsid w:val="00456289"/>
    <w:rsid w:val="004D633B"/>
    <w:rsid w:val="004F31E4"/>
    <w:rsid w:val="004F4475"/>
    <w:rsid w:val="0051686D"/>
    <w:rsid w:val="00547EF1"/>
    <w:rsid w:val="005C0E38"/>
    <w:rsid w:val="005F0009"/>
    <w:rsid w:val="00767BD1"/>
    <w:rsid w:val="007813F6"/>
    <w:rsid w:val="0081653E"/>
    <w:rsid w:val="00875258"/>
    <w:rsid w:val="008A1FE7"/>
    <w:rsid w:val="0091093B"/>
    <w:rsid w:val="00981259"/>
    <w:rsid w:val="009C40C3"/>
    <w:rsid w:val="009D2687"/>
    <w:rsid w:val="009E1D7A"/>
    <w:rsid w:val="00A32BDA"/>
    <w:rsid w:val="00A42B4E"/>
    <w:rsid w:val="00AC7771"/>
    <w:rsid w:val="00AF333B"/>
    <w:rsid w:val="00B14EA8"/>
    <w:rsid w:val="00B62A86"/>
    <w:rsid w:val="00B7785D"/>
    <w:rsid w:val="00BB4E42"/>
    <w:rsid w:val="00C3411A"/>
    <w:rsid w:val="00C720A9"/>
    <w:rsid w:val="00C809FC"/>
    <w:rsid w:val="00D43BBE"/>
    <w:rsid w:val="00D627CC"/>
    <w:rsid w:val="00E25070"/>
    <w:rsid w:val="00E7265A"/>
    <w:rsid w:val="00EC6A78"/>
    <w:rsid w:val="00EF42CA"/>
    <w:rsid w:val="00F26985"/>
    <w:rsid w:val="00F4046C"/>
    <w:rsid w:val="00F60037"/>
    <w:rsid w:val="00F7290A"/>
    <w:rsid w:val="00F800FC"/>
    <w:rsid w:val="00F87AA2"/>
    <w:rsid w:val="00FB21DA"/>
    <w:rsid w:val="03E4B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1899"/>
  <w15:docId w15:val="{2C391AF9-E927-4323-9055-B17E3FE6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469"/>
    <w:pPr>
      <w:tabs>
        <w:tab w:val="center" w:pos="4680"/>
        <w:tab w:val="right" w:pos="9360"/>
      </w:tabs>
      <w:spacing w:line="240" w:lineRule="auto"/>
    </w:pPr>
  </w:style>
  <w:style w:type="character" w:customStyle="1" w:styleId="HeaderChar">
    <w:name w:val="Header Char"/>
    <w:basedOn w:val="DefaultParagraphFont"/>
    <w:link w:val="Header"/>
    <w:uiPriority w:val="99"/>
    <w:rsid w:val="002E7469"/>
  </w:style>
  <w:style w:type="paragraph" w:styleId="Footer">
    <w:name w:val="footer"/>
    <w:basedOn w:val="Normal"/>
    <w:link w:val="FooterChar"/>
    <w:uiPriority w:val="99"/>
    <w:unhideWhenUsed/>
    <w:rsid w:val="002E7469"/>
    <w:pPr>
      <w:tabs>
        <w:tab w:val="center" w:pos="4680"/>
        <w:tab w:val="right" w:pos="9360"/>
      </w:tabs>
      <w:spacing w:line="240" w:lineRule="auto"/>
    </w:pPr>
  </w:style>
  <w:style w:type="character" w:customStyle="1" w:styleId="FooterChar">
    <w:name w:val="Footer Char"/>
    <w:basedOn w:val="DefaultParagraphFont"/>
    <w:link w:val="Footer"/>
    <w:uiPriority w:val="99"/>
    <w:rsid w:val="002E7469"/>
  </w:style>
  <w:style w:type="character" w:styleId="CommentReference">
    <w:name w:val="annotation reference"/>
    <w:basedOn w:val="DefaultParagraphFont"/>
    <w:uiPriority w:val="99"/>
    <w:semiHidden/>
    <w:unhideWhenUsed/>
    <w:rsid w:val="00C3411A"/>
    <w:rPr>
      <w:sz w:val="16"/>
      <w:szCs w:val="16"/>
    </w:rPr>
  </w:style>
  <w:style w:type="paragraph" w:styleId="CommentText">
    <w:name w:val="annotation text"/>
    <w:basedOn w:val="Normal"/>
    <w:link w:val="CommentTextChar"/>
    <w:uiPriority w:val="99"/>
    <w:semiHidden/>
    <w:unhideWhenUsed/>
    <w:rsid w:val="00C3411A"/>
    <w:pPr>
      <w:spacing w:line="240" w:lineRule="auto"/>
    </w:pPr>
    <w:rPr>
      <w:sz w:val="20"/>
      <w:szCs w:val="20"/>
    </w:rPr>
  </w:style>
  <w:style w:type="character" w:customStyle="1" w:styleId="CommentTextChar">
    <w:name w:val="Comment Text Char"/>
    <w:basedOn w:val="DefaultParagraphFont"/>
    <w:link w:val="CommentText"/>
    <w:uiPriority w:val="99"/>
    <w:semiHidden/>
    <w:rsid w:val="00C3411A"/>
    <w:rPr>
      <w:sz w:val="20"/>
      <w:szCs w:val="20"/>
    </w:rPr>
  </w:style>
  <w:style w:type="paragraph" w:styleId="CommentSubject">
    <w:name w:val="annotation subject"/>
    <w:basedOn w:val="CommentText"/>
    <w:next w:val="CommentText"/>
    <w:link w:val="CommentSubjectChar"/>
    <w:uiPriority w:val="99"/>
    <w:semiHidden/>
    <w:unhideWhenUsed/>
    <w:rsid w:val="00C3411A"/>
    <w:rPr>
      <w:b/>
      <w:bCs/>
    </w:rPr>
  </w:style>
  <w:style w:type="character" w:customStyle="1" w:styleId="CommentSubjectChar">
    <w:name w:val="Comment Subject Char"/>
    <w:basedOn w:val="CommentTextChar"/>
    <w:link w:val="CommentSubject"/>
    <w:uiPriority w:val="99"/>
    <w:semiHidden/>
    <w:rsid w:val="00C341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rogerchao@oakland.edu</cp:lastModifiedBy>
  <cp:revision>23</cp:revision>
  <dcterms:created xsi:type="dcterms:W3CDTF">2021-03-08T19:22:00Z</dcterms:created>
  <dcterms:modified xsi:type="dcterms:W3CDTF">2021-03-26T01:22:00Z</dcterms:modified>
</cp:coreProperties>
</file>